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960F2">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lang w:val="en-US" w:eastAsia="zh-CN"/>
        </w:rPr>
      </w:pPr>
      <w:r>
        <w:rPr>
          <w:rFonts w:hint="eastAsia" w:ascii="方正仿宋_GBK" w:hAnsi="方正仿宋_GBK" w:eastAsia="方正仿宋_GBK" w:cs="方正仿宋_GBK"/>
          <w:color w:val="auto"/>
          <w:sz w:val="32"/>
          <w:szCs w:val="32"/>
          <w:lang w:val="en-US" w:eastAsia="zh-CN"/>
        </w:rPr>
        <w:t>附件2</w:t>
      </w:r>
    </w:p>
    <w:p w14:paraId="2763CBD2">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方正小标宋简体" w:hAnsi="方正小标宋简体" w:eastAsia="方正小标宋简体" w:cs="方正小标宋简体"/>
          <w:sz w:val="44"/>
          <w:szCs w:val="44"/>
        </w:rPr>
      </w:pPr>
    </w:p>
    <w:p w14:paraId="5E04FAB7">
      <w:pPr>
        <w:keepNext w:val="0"/>
        <w:keepLines w:val="0"/>
        <w:pageBreakBefore w:val="0"/>
        <w:widowControl w:val="0"/>
        <w:kinsoku/>
        <w:wordWrap/>
        <w:overflowPunct/>
        <w:topLinePunct w:val="0"/>
        <w:autoSpaceDE/>
        <w:autoSpaceDN/>
        <w:bidi w:val="0"/>
        <w:adjustRightInd/>
        <w:snapToGrid/>
        <w:spacing w:line="600" w:lineRule="exact"/>
        <w:ind w:firstLine="1320" w:firstLineChars="3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江门市蓬江区、江海区自来水</w:t>
      </w:r>
    </w:p>
    <w:p w14:paraId="24767EC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楷体_GBK" w:eastAsia="方正小标宋简体" w:cs="方正楷体_GBK"/>
          <w:sz w:val="32"/>
          <w:szCs w:val="32"/>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价格调整方案</w:t>
      </w:r>
    </w:p>
    <w:p w14:paraId="547DFA6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p>
    <w:p w14:paraId="0E4D104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为落实水价改革政策的要求，充分发挥价格机制在</w:t>
      </w:r>
      <w:r>
        <w:rPr>
          <w:rFonts w:hint="eastAsia" w:ascii="方正仿宋_GBK" w:hAnsi="方正仿宋_GBK" w:eastAsia="方正仿宋_GBK" w:cs="方正仿宋_GBK"/>
          <w:sz w:val="32"/>
          <w:szCs w:val="32"/>
          <w:lang w:eastAsia="zh-CN"/>
        </w:rPr>
        <w:t>推动水资源节约与合理利用方面的积极作用，激励提升供水质量、推动供水事业高质量发展，根据</w:t>
      </w:r>
      <w:r>
        <w:rPr>
          <w:rFonts w:hint="eastAsia" w:ascii="方正仿宋_GBK" w:hAnsi="方正仿宋_GBK" w:eastAsia="方正仿宋_GBK" w:cs="方正仿宋_GBK"/>
          <w:sz w:val="32"/>
          <w:szCs w:val="32"/>
        </w:rPr>
        <w:t>《城镇供水价格管理办法》（国家发展改革委 住房和城乡建设部第46号令</w:t>
      </w:r>
      <w:r>
        <w:rPr>
          <w:rFonts w:hint="eastAsia" w:ascii="方正仿宋_GBK" w:hAnsi="方正仿宋_GBK" w:eastAsia="方正仿宋_GBK" w:cs="方正仿宋_GBK"/>
          <w:sz w:val="32"/>
          <w:szCs w:val="32"/>
          <w:lang w:eastAsia="zh-CN"/>
        </w:rPr>
        <w:t>）《广东省发展和改革委员会 广东省住房和城乡建设厅关于城镇供水价格管理的实施办法》（粤发改规〔2022〕5号）和《广东省定价目录（2022年版）》（粤府办〔2022〕5号）等有关规定，现拟定蓬江区、江海区自来水价格调整方案如下：</w:t>
      </w:r>
    </w:p>
    <w:p w14:paraId="5B8C0415">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调整原则</w:t>
      </w:r>
    </w:p>
    <w:p w14:paraId="5EDBB3A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rPr>
        <w:t>（一）覆盖成本、合理收益。</w:t>
      </w:r>
      <w:r>
        <w:rPr>
          <w:rFonts w:hint="eastAsia" w:ascii="方正仿宋_GBK" w:hAnsi="方正仿宋_GBK" w:eastAsia="方正仿宋_GBK" w:cs="方正仿宋_GBK"/>
          <w:sz w:val="32"/>
          <w:szCs w:val="32"/>
        </w:rPr>
        <w:t>按照《城镇供水价格管理办法》，以成本监审为基础，采用“准许成本加合理收益”的方法，分类核定用户用水价格。</w:t>
      </w:r>
    </w:p>
    <w:p w14:paraId="78A1AC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rPr>
        <w:t>（二）节约用水、公平负担。</w:t>
      </w:r>
      <w:r>
        <w:rPr>
          <w:rFonts w:hint="eastAsia" w:ascii="方正仿宋_GBK" w:hAnsi="方正仿宋_GBK" w:eastAsia="方正仿宋_GBK" w:cs="方正仿宋_GBK"/>
          <w:sz w:val="32"/>
          <w:szCs w:val="32"/>
        </w:rPr>
        <w:t>按照居民生活用水保本微利、其他用水合理盈利的原则分类核定用户用水价格，充分发挥价格杠杆的激励约束作用，引导节约用水。</w:t>
      </w:r>
    </w:p>
    <w:p w14:paraId="74C1795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二、成本监审结论</w:t>
      </w:r>
    </w:p>
    <w:p w14:paraId="6F5DA4B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根据《中华人民共和国价格法》《政府制定价格成本监审办法》《城镇供水定价成本监审办法》等有关规定，经实施对蓬江</w:t>
      </w:r>
      <w:r>
        <w:rPr>
          <w:rFonts w:hint="eastAsia" w:ascii="方正仿宋_GBK" w:hAnsi="方正仿宋_GBK" w:eastAsia="方正仿宋_GBK" w:cs="方正仿宋_GBK"/>
          <w:sz w:val="32"/>
          <w:szCs w:val="32"/>
          <w:lang w:eastAsia="zh-CN"/>
        </w:rPr>
        <w:t>区</w:t>
      </w:r>
      <w:r>
        <w:rPr>
          <w:rFonts w:hint="eastAsia" w:ascii="方正仿宋_GBK" w:hAnsi="方正仿宋_GBK" w:eastAsia="方正仿宋_GBK" w:cs="方正仿宋_GBK"/>
          <w:sz w:val="32"/>
          <w:szCs w:val="32"/>
        </w:rPr>
        <w:t>、江海区主要供水企业2022年至2024年期间在开展城镇供水业务过程中所发生的运营成本监审，核定蓬江</w:t>
      </w:r>
      <w:r>
        <w:rPr>
          <w:rFonts w:hint="eastAsia" w:ascii="方正仿宋_GBK" w:hAnsi="方正仿宋_GBK" w:eastAsia="方正仿宋_GBK" w:cs="方正仿宋_GBK"/>
          <w:sz w:val="32"/>
          <w:szCs w:val="32"/>
          <w:lang w:eastAsia="zh-CN"/>
        </w:rPr>
        <w:t>区</w:t>
      </w:r>
      <w:r>
        <w:rPr>
          <w:rFonts w:hint="eastAsia" w:ascii="方正仿宋_GBK" w:hAnsi="方正仿宋_GBK" w:eastAsia="方正仿宋_GBK" w:cs="方正仿宋_GBK"/>
          <w:sz w:val="32"/>
          <w:szCs w:val="32"/>
        </w:rPr>
        <w:t>、江海区城镇供水定价成本为1.96元/立方米（不含税）。</w:t>
      </w:r>
    </w:p>
    <w:p w14:paraId="15A04C3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三、自来水价格调整方案</w:t>
      </w:r>
    </w:p>
    <w:p w14:paraId="4EF6B6D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（一）适用范围</w:t>
      </w:r>
    </w:p>
    <w:p w14:paraId="6D7D84C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本方案适用于江门市蓬江区、江海区的供水区域。</w:t>
      </w:r>
    </w:p>
    <w:p w14:paraId="78A995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（二）具体方案</w:t>
      </w:r>
    </w:p>
    <w:p w14:paraId="7C3CD2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根据成本监审结论，按照国家和省城镇供水价格管理办法，统筹考虑社会承受能力、促进节约用水、</w:t>
      </w:r>
      <w:r>
        <w:rPr>
          <w:rFonts w:hint="eastAsia" w:ascii="方正仿宋_GBK" w:hAnsi="方正仿宋_GBK" w:eastAsia="方正仿宋_GBK" w:cs="方正仿宋_GBK"/>
          <w:sz w:val="32"/>
          <w:szCs w:val="32"/>
          <w:lang w:eastAsia="zh-CN"/>
        </w:rPr>
        <w:t>提升</w:t>
      </w:r>
      <w:r>
        <w:rPr>
          <w:rFonts w:hint="eastAsia" w:ascii="方正仿宋_GBK" w:hAnsi="方正仿宋_GBK" w:eastAsia="方正仿宋_GBK" w:cs="方正仿宋_GBK"/>
          <w:sz w:val="32"/>
          <w:szCs w:val="32"/>
        </w:rPr>
        <w:t>服务质量等因素，拟定具体方案如下：</w:t>
      </w:r>
    </w:p>
    <w:p w14:paraId="7E032A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sz w:val="32"/>
          <w:szCs w:val="32"/>
        </w:rPr>
        <w:t>方案一：我市蓬江区、江海区自来水综合价格</w:t>
      </w:r>
      <w:r>
        <w:rPr>
          <w:rFonts w:hint="eastAsia" w:ascii="方正仿宋_GBK" w:hAnsi="方正仿宋_GBK" w:eastAsia="方正仿宋_GBK" w:cs="方正仿宋_GBK"/>
          <w:sz w:val="32"/>
          <w:szCs w:val="32"/>
          <w:lang w:eastAsia="zh-CN"/>
        </w:rPr>
        <w:t>拟</w:t>
      </w:r>
      <w:r>
        <w:rPr>
          <w:rFonts w:hint="eastAsia" w:ascii="方正仿宋_GBK" w:hAnsi="方正仿宋_GBK" w:eastAsia="方正仿宋_GBK" w:cs="方正仿宋_GBK"/>
          <w:sz w:val="32"/>
          <w:szCs w:val="32"/>
        </w:rPr>
        <w:t>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2.28元/立方米。</w:t>
      </w:r>
      <w:r>
        <w:rPr>
          <w:rFonts w:hint="eastAsia" w:ascii="方正仿宋_GBK" w:hAnsi="方正仿宋_GBK" w:eastAsia="方正仿宋_GBK" w:cs="方正仿宋_GBK"/>
          <w:b w:val="0"/>
          <w:bCs w:val="0"/>
          <w:sz w:val="32"/>
          <w:szCs w:val="32"/>
        </w:rPr>
        <w:t>居民生活用水</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第一阶梯</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sz w:val="32"/>
          <w:szCs w:val="32"/>
        </w:rPr>
        <w:t>价格调整</w:t>
      </w:r>
      <w:r>
        <w:rPr>
          <w:rFonts w:hint="eastAsia" w:ascii="方正仿宋_GBK" w:hAnsi="方正仿宋_GBK" w:eastAsia="方正仿宋_GBK" w:cs="方正仿宋_GBK"/>
          <w:b w:val="0"/>
          <w:bCs w:val="0"/>
          <w:sz w:val="32"/>
          <w:szCs w:val="32"/>
          <w:lang w:eastAsia="zh-CN"/>
        </w:rPr>
        <w:t>为</w:t>
      </w:r>
      <w:r>
        <w:rPr>
          <w:rFonts w:hint="eastAsia" w:ascii="方正仿宋_GBK" w:hAnsi="方正仿宋_GBK" w:eastAsia="方正仿宋_GBK" w:cs="方正仿宋_GBK"/>
          <w:b w:val="0"/>
          <w:bCs w:val="0"/>
          <w:sz w:val="32"/>
          <w:szCs w:val="32"/>
        </w:rPr>
        <w:t>1.88元/立方米，非居民用水价格调整</w:t>
      </w:r>
      <w:r>
        <w:rPr>
          <w:rFonts w:hint="eastAsia" w:ascii="方正仿宋_GBK" w:hAnsi="方正仿宋_GBK" w:eastAsia="方正仿宋_GBK" w:cs="方正仿宋_GBK"/>
          <w:b w:val="0"/>
          <w:bCs w:val="0"/>
          <w:sz w:val="32"/>
          <w:szCs w:val="32"/>
          <w:lang w:eastAsia="zh-CN"/>
        </w:rPr>
        <w:t>为</w:t>
      </w:r>
      <w:r>
        <w:rPr>
          <w:rFonts w:hint="eastAsia" w:ascii="方正仿宋_GBK" w:hAnsi="方正仿宋_GBK" w:eastAsia="方正仿宋_GBK" w:cs="方正仿宋_GBK"/>
          <w:b w:val="0"/>
          <w:bCs w:val="0"/>
          <w:sz w:val="32"/>
          <w:szCs w:val="32"/>
        </w:rPr>
        <w:t>2.44元/立方米，特种用水价格调整</w:t>
      </w:r>
      <w:r>
        <w:rPr>
          <w:rFonts w:hint="eastAsia" w:ascii="方正仿宋_GBK" w:hAnsi="方正仿宋_GBK" w:eastAsia="方正仿宋_GBK" w:cs="方正仿宋_GBK"/>
          <w:b w:val="0"/>
          <w:bCs w:val="0"/>
          <w:sz w:val="32"/>
          <w:szCs w:val="32"/>
          <w:lang w:eastAsia="zh-CN"/>
        </w:rPr>
        <w:t>为</w:t>
      </w:r>
      <w:r>
        <w:rPr>
          <w:rFonts w:hint="eastAsia" w:ascii="方正仿宋_GBK" w:hAnsi="方正仿宋_GBK" w:eastAsia="方正仿宋_GBK" w:cs="方正仿宋_GBK"/>
          <w:b w:val="0"/>
          <w:bCs w:val="0"/>
          <w:sz w:val="32"/>
          <w:szCs w:val="32"/>
        </w:rPr>
        <w:t>6.5元/立方米。</w:t>
      </w:r>
    </w:p>
    <w:p w14:paraId="766F051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方案二：我市蓬江区、江海区自来水综合价格</w:t>
      </w:r>
      <w:r>
        <w:rPr>
          <w:rFonts w:hint="eastAsia" w:ascii="方正仿宋_GBK" w:hAnsi="方正仿宋_GBK" w:eastAsia="方正仿宋_GBK" w:cs="方正仿宋_GBK"/>
          <w:sz w:val="32"/>
          <w:szCs w:val="32"/>
          <w:lang w:eastAsia="zh-CN"/>
        </w:rPr>
        <w:t>拟</w:t>
      </w:r>
      <w:r>
        <w:rPr>
          <w:rFonts w:hint="eastAsia" w:ascii="方正仿宋_GBK" w:hAnsi="方正仿宋_GBK" w:eastAsia="方正仿宋_GBK" w:cs="方正仿宋_GBK"/>
          <w:sz w:val="32"/>
          <w:szCs w:val="32"/>
        </w:rPr>
        <w:t>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2.3</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元/立方米。</w:t>
      </w:r>
      <w:r>
        <w:rPr>
          <w:rFonts w:hint="eastAsia" w:ascii="方正仿宋_GBK" w:hAnsi="方正仿宋_GBK" w:eastAsia="方正仿宋_GBK" w:cs="方正仿宋_GBK"/>
          <w:b w:val="0"/>
          <w:bCs w:val="0"/>
          <w:sz w:val="32"/>
          <w:szCs w:val="32"/>
        </w:rPr>
        <w:t>居民生活</w:t>
      </w:r>
      <w:r>
        <w:rPr>
          <w:rFonts w:hint="eastAsia" w:ascii="方正仿宋_GBK" w:hAnsi="方正仿宋_GBK" w:eastAsia="方正仿宋_GBK" w:cs="方正仿宋_GBK"/>
          <w:sz w:val="32"/>
          <w:szCs w:val="32"/>
        </w:rPr>
        <w:t>用水</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第一阶梯</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价格调整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91</w:t>
      </w:r>
      <w:r>
        <w:rPr>
          <w:rFonts w:hint="eastAsia" w:ascii="方正仿宋_GBK" w:hAnsi="方正仿宋_GBK" w:eastAsia="方正仿宋_GBK" w:cs="方正仿宋_GBK"/>
          <w:sz w:val="32"/>
          <w:szCs w:val="32"/>
        </w:rPr>
        <w:t>元/立方米，非居民用水价格调整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2.4</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元/立方米，特种用水价格调整</w:t>
      </w:r>
      <w:r>
        <w:rPr>
          <w:rFonts w:hint="eastAsia" w:ascii="方正仿宋_GBK" w:hAnsi="方正仿宋_GBK" w:eastAsia="方正仿宋_GBK" w:cs="方正仿宋_GBK"/>
          <w:sz w:val="32"/>
          <w:szCs w:val="32"/>
          <w:lang w:eastAsia="zh-CN"/>
        </w:rPr>
        <w:t>为</w:t>
      </w:r>
      <w:r>
        <w:rPr>
          <w:rFonts w:hint="eastAsia" w:ascii="方正仿宋_GBK" w:hAnsi="方正仿宋_GBK" w:eastAsia="方正仿宋_GBK" w:cs="方正仿宋_GBK"/>
          <w:sz w:val="32"/>
          <w:szCs w:val="32"/>
        </w:rPr>
        <w:t>7元/立方米</w:t>
      </w:r>
      <w:r>
        <w:rPr>
          <w:rFonts w:hint="eastAsia" w:ascii="方正仿宋_GBK" w:hAnsi="方正仿宋_GBK" w:eastAsia="方正仿宋_GBK" w:cs="方正仿宋_GBK"/>
          <w:sz w:val="32"/>
          <w:szCs w:val="32"/>
          <w:lang w:eastAsia="zh-CN"/>
        </w:rPr>
        <w:t>。</w:t>
      </w:r>
    </w:p>
    <w:p w14:paraId="3A070DD1">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lang w:val="en-US" w:eastAsia="zh-CN"/>
        </w:rPr>
      </w:pPr>
      <w:r>
        <w:rPr>
          <w:rFonts w:hint="eastAsia"/>
          <w:lang w:val="en-US" w:eastAsia="zh-CN"/>
        </w:rPr>
        <w:t xml:space="preserve">   </w:t>
      </w:r>
    </w:p>
    <w:p w14:paraId="41784F96">
      <w:pPr>
        <w:pStyle w:val="2"/>
        <w:keepNext w:val="0"/>
        <w:keepLines w:val="0"/>
        <w:spacing w:line="600" w:lineRule="exact"/>
        <w:ind w:firstLine="883" w:firstLineChars="200"/>
        <w:rPr>
          <w:rFonts w:hint="eastAsia"/>
          <w:lang w:val="en-US" w:eastAsia="zh-CN"/>
        </w:rPr>
      </w:pPr>
      <w:r>
        <w:rPr>
          <w:rFonts w:hint="eastAsia"/>
          <w:lang w:val="en-US" w:eastAsia="zh-CN"/>
        </w:rPr>
        <w:t xml:space="preserve">      </w:t>
      </w:r>
    </w:p>
    <w:p w14:paraId="567839F3">
      <w:pPr>
        <w:pStyle w:val="2"/>
        <w:keepNext w:val="0"/>
        <w:keepLines w:val="0"/>
        <w:spacing w:line="600" w:lineRule="exact"/>
        <w:ind w:firstLine="883" w:firstLineChars="200"/>
        <w:rPr>
          <w:rFonts w:hint="eastAsia"/>
          <w:lang w:eastAsia="zh-CN"/>
        </w:rPr>
      </w:pPr>
      <w:r>
        <w:rPr>
          <w:rFonts w:hint="eastAsia"/>
          <w:lang w:val="en-US" w:eastAsia="zh-CN"/>
        </w:rPr>
        <w:t xml:space="preserve">                                   </w:t>
      </w:r>
    </w:p>
    <w:p w14:paraId="6C4D5CD8">
      <w:pPr>
        <w:spacing w:line="600" w:lineRule="exact"/>
        <w:ind w:firstLine="2560" w:firstLineChars="800"/>
        <w:jc w:val="both"/>
        <w:rPr>
          <w:rFonts w:hint="default" w:ascii="方正仿宋_GBK" w:hAnsi="方正仿宋_GBK" w:eastAsia="方正仿宋_GBK" w:cs="方正仿宋_GBK"/>
          <w:b w:val="0"/>
          <w:bCs w:val="0"/>
          <w:sz w:val="32"/>
          <w:szCs w:val="32"/>
          <w:lang w:val="en-US"/>
        </w:rPr>
      </w:pPr>
      <w:r>
        <w:rPr>
          <w:rFonts w:hint="eastAsia" w:ascii="方正仿宋_GBK" w:hAnsi="方正仿宋_GBK" w:eastAsia="方正仿宋_GBK" w:cs="方正仿宋_GBK"/>
          <w:b w:val="0"/>
          <w:bCs w:val="0"/>
          <w:sz w:val="32"/>
          <w:szCs w:val="32"/>
          <w:lang w:eastAsia="zh-CN"/>
        </w:rPr>
        <w:t>自来水价格调整方案</w:t>
      </w:r>
    </w:p>
    <w:p w14:paraId="3605C144">
      <w:pPr>
        <w:adjustRightInd w:val="0"/>
        <w:snapToGrid w:val="0"/>
        <w:spacing w:line="600" w:lineRule="exact"/>
        <w:ind w:firstLine="6480" w:firstLineChars="2700"/>
        <w:rPr>
          <w:rFonts w:hint="eastAsia" w:ascii="仿宋" w:hAnsi="仿宋" w:eastAsia="仿宋" w:cs="方正楷体_GBK"/>
          <w:sz w:val="24"/>
        </w:rPr>
      </w:pPr>
      <w:r>
        <w:rPr>
          <w:rFonts w:hint="eastAsia" w:ascii="仿宋" w:hAnsi="仿宋" w:eastAsia="仿宋" w:cs="方正楷体_GBK"/>
          <w:sz w:val="24"/>
        </w:rPr>
        <w:t>单位：元/立方米</w:t>
      </w:r>
    </w:p>
    <w:tbl>
      <w:tblPr>
        <w:tblStyle w:val="6"/>
        <w:tblW w:w="0" w:type="auto"/>
        <w:tblInd w:w="0" w:type="dxa"/>
        <w:tblLayout w:type="fixed"/>
        <w:tblCellMar>
          <w:top w:w="0" w:type="dxa"/>
          <w:left w:w="108" w:type="dxa"/>
          <w:bottom w:w="0" w:type="dxa"/>
          <w:right w:w="108" w:type="dxa"/>
        </w:tblCellMar>
      </w:tblPr>
      <w:tblGrid>
        <w:gridCol w:w="1305"/>
        <w:gridCol w:w="2496"/>
        <w:gridCol w:w="1452"/>
        <w:gridCol w:w="1741"/>
        <w:gridCol w:w="1528"/>
      </w:tblGrid>
      <w:tr w14:paraId="1ED7C96D">
        <w:tblPrEx>
          <w:tblCellMar>
            <w:top w:w="0" w:type="dxa"/>
            <w:left w:w="108" w:type="dxa"/>
            <w:bottom w:w="0" w:type="dxa"/>
            <w:right w:w="108" w:type="dxa"/>
          </w:tblCellMar>
        </w:tblPrEx>
        <w:trPr>
          <w:trHeight w:val="499" w:hRule="atLeast"/>
        </w:trPr>
        <w:tc>
          <w:tcPr>
            <w:tcW w:w="38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A10E">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用水类别</w:t>
            </w:r>
          </w:p>
        </w:tc>
        <w:tc>
          <w:tcPr>
            <w:tcW w:w="1452" w:type="dxa"/>
            <w:tcBorders>
              <w:top w:val="single" w:color="000000" w:sz="4" w:space="0"/>
              <w:left w:val="nil"/>
              <w:bottom w:val="single" w:color="000000" w:sz="4" w:space="0"/>
              <w:right w:val="single" w:color="000000" w:sz="4" w:space="0"/>
            </w:tcBorders>
            <w:shd w:val="clear" w:color="auto" w:fill="auto"/>
            <w:noWrap/>
            <w:vAlign w:val="center"/>
          </w:tcPr>
          <w:p w14:paraId="78744FC0">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现行价格</w:t>
            </w:r>
          </w:p>
        </w:tc>
        <w:tc>
          <w:tcPr>
            <w:tcW w:w="1741" w:type="dxa"/>
            <w:tcBorders>
              <w:top w:val="single" w:color="000000" w:sz="4" w:space="0"/>
              <w:left w:val="nil"/>
              <w:bottom w:val="single" w:color="000000" w:sz="4" w:space="0"/>
              <w:right w:val="single" w:color="000000" w:sz="4" w:space="0"/>
            </w:tcBorders>
            <w:shd w:val="clear" w:color="auto" w:fill="auto"/>
            <w:noWrap/>
            <w:vAlign w:val="center"/>
          </w:tcPr>
          <w:p w14:paraId="5D1FFC78">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方案一</w:t>
            </w:r>
          </w:p>
        </w:tc>
        <w:tc>
          <w:tcPr>
            <w:tcW w:w="1528" w:type="dxa"/>
            <w:tcBorders>
              <w:top w:val="single" w:color="000000" w:sz="4" w:space="0"/>
              <w:left w:val="nil"/>
              <w:bottom w:val="single" w:color="000000" w:sz="4" w:space="0"/>
              <w:right w:val="single" w:color="000000" w:sz="4" w:space="0"/>
            </w:tcBorders>
            <w:shd w:val="clear" w:color="auto" w:fill="auto"/>
            <w:noWrap/>
            <w:vAlign w:val="center"/>
          </w:tcPr>
          <w:p w14:paraId="69883EBB">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方案二</w:t>
            </w:r>
          </w:p>
        </w:tc>
      </w:tr>
      <w:tr w14:paraId="281B5A18">
        <w:tblPrEx>
          <w:tblCellMar>
            <w:top w:w="0" w:type="dxa"/>
            <w:left w:w="108" w:type="dxa"/>
            <w:bottom w:w="0" w:type="dxa"/>
            <w:right w:w="108" w:type="dxa"/>
          </w:tblCellMar>
        </w:tblPrEx>
        <w:trPr>
          <w:trHeight w:val="690" w:hRule="atLeast"/>
        </w:trPr>
        <w:tc>
          <w:tcPr>
            <w:tcW w:w="1305" w:type="dxa"/>
            <w:vMerge w:val="restart"/>
            <w:tcBorders>
              <w:top w:val="nil"/>
              <w:left w:val="single" w:color="000000" w:sz="4" w:space="0"/>
              <w:bottom w:val="single" w:color="000000" w:sz="4" w:space="0"/>
              <w:right w:val="single" w:color="000000" w:sz="4" w:space="0"/>
            </w:tcBorders>
            <w:shd w:val="clear" w:color="auto" w:fill="auto"/>
            <w:noWrap/>
            <w:vAlign w:val="center"/>
          </w:tcPr>
          <w:p w14:paraId="017076E7">
            <w:pPr>
              <w:widowControl/>
              <w:adjustRightInd w:val="0"/>
              <w:spacing w:line="260" w:lineRule="exact"/>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居民</w:t>
            </w:r>
          </w:p>
          <w:p w14:paraId="1E5B4D6E">
            <w:pPr>
              <w:widowControl/>
              <w:adjustRightInd w:val="0"/>
              <w:spacing w:line="260" w:lineRule="exact"/>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生活用水</w:t>
            </w:r>
          </w:p>
        </w:tc>
        <w:tc>
          <w:tcPr>
            <w:tcW w:w="2496" w:type="dxa"/>
            <w:tcBorders>
              <w:top w:val="nil"/>
              <w:left w:val="nil"/>
              <w:bottom w:val="single" w:color="000000" w:sz="4" w:space="0"/>
              <w:right w:val="single" w:color="000000" w:sz="4" w:space="0"/>
            </w:tcBorders>
            <w:shd w:val="clear" w:color="auto" w:fill="auto"/>
            <w:vAlign w:val="center"/>
          </w:tcPr>
          <w:p w14:paraId="12F81665">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第一阶梯</w:t>
            </w:r>
            <w:r>
              <w:rPr>
                <w:rFonts w:hint="eastAsia" w:ascii="方正仿宋_GBK" w:hAnsi="方正仿宋_GBK" w:eastAsia="方正仿宋_GBK" w:cs="方正仿宋_GBK"/>
                <w:b w:val="0"/>
                <w:bCs w:val="0"/>
                <w:color w:val="auto"/>
                <w:sz w:val="22"/>
                <w:szCs w:val="28"/>
                <w:highlight w:val="none"/>
                <w:lang w:val="en-US" w:eastAsia="zh-CN"/>
              </w:rPr>
              <w:br w:type="textWrapping"/>
            </w:r>
            <w:r>
              <w:rPr>
                <w:rFonts w:hint="eastAsia" w:ascii="方正仿宋_GBK" w:hAnsi="方正仿宋_GBK" w:eastAsia="方正仿宋_GBK" w:cs="方正仿宋_GBK"/>
                <w:b w:val="0"/>
                <w:bCs w:val="0"/>
                <w:color w:val="auto"/>
                <w:sz w:val="22"/>
                <w:szCs w:val="28"/>
                <w:highlight w:val="none"/>
                <w:lang w:val="en-US" w:eastAsia="zh-CN"/>
              </w:rPr>
              <w:t>（0-24（含）m³）</w:t>
            </w:r>
          </w:p>
        </w:tc>
        <w:tc>
          <w:tcPr>
            <w:tcW w:w="1452" w:type="dxa"/>
            <w:tcBorders>
              <w:top w:val="nil"/>
              <w:left w:val="nil"/>
              <w:bottom w:val="single" w:color="000000" w:sz="4" w:space="0"/>
              <w:right w:val="single" w:color="000000" w:sz="4" w:space="0"/>
            </w:tcBorders>
            <w:shd w:val="clear" w:color="auto" w:fill="auto"/>
            <w:noWrap/>
            <w:vAlign w:val="center"/>
          </w:tcPr>
          <w:p w14:paraId="5B63D4F5">
            <w:pPr>
              <w:widowControl/>
              <w:adjustRightInd w:val="0"/>
              <w:spacing w:line="260" w:lineRule="exact"/>
              <w:ind w:firstLine="440" w:firstLineChars="200"/>
              <w:jc w:val="both"/>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1.53</w:t>
            </w:r>
          </w:p>
        </w:tc>
        <w:tc>
          <w:tcPr>
            <w:tcW w:w="1741" w:type="dxa"/>
            <w:tcBorders>
              <w:top w:val="nil"/>
              <w:left w:val="nil"/>
              <w:bottom w:val="single" w:color="000000" w:sz="4" w:space="0"/>
              <w:right w:val="single" w:color="000000" w:sz="4" w:space="0"/>
            </w:tcBorders>
            <w:shd w:val="clear" w:color="auto" w:fill="auto"/>
            <w:noWrap/>
            <w:vAlign w:val="center"/>
          </w:tcPr>
          <w:p w14:paraId="67AFB718">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1.88</w:t>
            </w:r>
          </w:p>
        </w:tc>
        <w:tc>
          <w:tcPr>
            <w:tcW w:w="1528" w:type="dxa"/>
            <w:tcBorders>
              <w:top w:val="nil"/>
              <w:left w:val="nil"/>
              <w:bottom w:val="single" w:color="000000" w:sz="4" w:space="0"/>
              <w:right w:val="single" w:color="000000" w:sz="4" w:space="0"/>
            </w:tcBorders>
            <w:shd w:val="clear" w:color="auto" w:fill="auto"/>
            <w:noWrap/>
            <w:vAlign w:val="center"/>
          </w:tcPr>
          <w:p w14:paraId="41623287">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1.91</w:t>
            </w:r>
          </w:p>
        </w:tc>
      </w:tr>
      <w:tr w14:paraId="7E5D56AC">
        <w:tblPrEx>
          <w:tblCellMar>
            <w:top w:w="0" w:type="dxa"/>
            <w:left w:w="108" w:type="dxa"/>
            <w:bottom w:w="0" w:type="dxa"/>
            <w:right w:w="108" w:type="dxa"/>
          </w:tblCellMar>
        </w:tblPrEx>
        <w:trPr>
          <w:trHeight w:val="660" w:hRule="atLeast"/>
        </w:trPr>
        <w:tc>
          <w:tcPr>
            <w:tcW w:w="1305" w:type="dxa"/>
            <w:vMerge w:val="continue"/>
            <w:tcBorders>
              <w:top w:val="nil"/>
              <w:left w:val="single" w:color="000000" w:sz="4" w:space="0"/>
              <w:bottom w:val="single" w:color="000000" w:sz="4" w:space="0"/>
              <w:right w:val="single" w:color="000000" w:sz="4" w:space="0"/>
            </w:tcBorders>
            <w:vAlign w:val="center"/>
          </w:tcPr>
          <w:p w14:paraId="5EED05DC">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p>
        </w:tc>
        <w:tc>
          <w:tcPr>
            <w:tcW w:w="2496" w:type="dxa"/>
            <w:tcBorders>
              <w:top w:val="nil"/>
              <w:left w:val="nil"/>
              <w:bottom w:val="single" w:color="000000" w:sz="4" w:space="0"/>
              <w:right w:val="single" w:color="000000" w:sz="4" w:space="0"/>
            </w:tcBorders>
            <w:shd w:val="clear" w:color="auto" w:fill="auto"/>
            <w:vAlign w:val="center"/>
          </w:tcPr>
          <w:p w14:paraId="57C94C49">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第二阶梯</w:t>
            </w:r>
            <w:r>
              <w:rPr>
                <w:rFonts w:hint="eastAsia" w:ascii="方正仿宋_GBK" w:hAnsi="方正仿宋_GBK" w:eastAsia="方正仿宋_GBK" w:cs="方正仿宋_GBK"/>
                <w:b w:val="0"/>
                <w:bCs w:val="0"/>
                <w:color w:val="auto"/>
                <w:sz w:val="22"/>
                <w:szCs w:val="28"/>
                <w:highlight w:val="none"/>
                <w:lang w:val="en-US" w:eastAsia="zh-CN"/>
              </w:rPr>
              <w:br w:type="textWrapping"/>
            </w:r>
            <w:r>
              <w:rPr>
                <w:rFonts w:hint="eastAsia" w:ascii="方正仿宋_GBK" w:hAnsi="方正仿宋_GBK" w:eastAsia="方正仿宋_GBK" w:cs="方正仿宋_GBK"/>
                <w:b w:val="0"/>
                <w:bCs w:val="0"/>
                <w:color w:val="auto"/>
                <w:sz w:val="22"/>
                <w:szCs w:val="28"/>
                <w:highlight w:val="none"/>
                <w:lang w:val="en-US" w:eastAsia="zh-CN"/>
              </w:rPr>
              <w:t>（24m³-32（含）m³）</w:t>
            </w:r>
          </w:p>
        </w:tc>
        <w:tc>
          <w:tcPr>
            <w:tcW w:w="1452" w:type="dxa"/>
            <w:tcBorders>
              <w:top w:val="nil"/>
              <w:left w:val="nil"/>
              <w:bottom w:val="single" w:color="000000" w:sz="4" w:space="0"/>
              <w:right w:val="single" w:color="000000" w:sz="4" w:space="0"/>
            </w:tcBorders>
            <w:shd w:val="clear" w:color="auto" w:fill="auto"/>
            <w:noWrap/>
            <w:vAlign w:val="center"/>
          </w:tcPr>
          <w:p w14:paraId="5B659923">
            <w:pPr>
              <w:widowControl/>
              <w:adjustRightInd w:val="0"/>
              <w:spacing w:line="260" w:lineRule="exact"/>
              <w:ind w:firstLine="440" w:firstLineChars="200"/>
              <w:jc w:val="both"/>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2.3</w:t>
            </w:r>
          </w:p>
        </w:tc>
        <w:tc>
          <w:tcPr>
            <w:tcW w:w="1741" w:type="dxa"/>
            <w:tcBorders>
              <w:top w:val="nil"/>
              <w:left w:val="nil"/>
              <w:bottom w:val="single" w:color="000000" w:sz="4" w:space="0"/>
              <w:right w:val="single" w:color="000000" w:sz="4" w:space="0"/>
            </w:tcBorders>
            <w:shd w:val="clear" w:color="auto" w:fill="auto"/>
            <w:noWrap/>
            <w:vAlign w:val="center"/>
          </w:tcPr>
          <w:p w14:paraId="69629BC2">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2.82</w:t>
            </w:r>
          </w:p>
        </w:tc>
        <w:tc>
          <w:tcPr>
            <w:tcW w:w="1528" w:type="dxa"/>
            <w:tcBorders>
              <w:top w:val="nil"/>
              <w:left w:val="nil"/>
              <w:bottom w:val="single" w:color="000000" w:sz="4" w:space="0"/>
              <w:right w:val="single" w:color="000000" w:sz="4" w:space="0"/>
            </w:tcBorders>
            <w:shd w:val="clear" w:color="auto" w:fill="auto"/>
            <w:noWrap/>
            <w:vAlign w:val="center"/>
          </w:tcPr>
          <w:p w14:paraId="36B41E70">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2.87</w:t>
            </w:r>
          </w:p>
        </w:tc>
      </w:tr>
      <w:tr w14:paraId="4113D0CB">
        <w:tblPrEx>
          <w:tblCellMar>
            <w:top w:w="0" w:type="dxa"/>
            <w:left w:w="108" w:type="dxa"/>
            <w:bottom w:w="0" w:type="dxa"/>
            <w:right w:w="108" w:type="dxa"/>
          </w:tblCellMar>
        </w:tblPrEx>
        <w:trPr>
          <w:trHeight w:val="690" w:hRule="atLeast"/>
        </w:trPr>
        <w:tc>
          <w:tcPr>
            <w:tcW w:w="1305" w:type="dxa"/>
            <w:vMerge w:val="continue"/>
            <w:tcBorders>
              <w:top w:val="nil"/>
              <w:left w:val="single" w:color="000000" w:sz="4" w:space="0"/>
              <w:bottom w:val="single" w:color="000000" w:sz="4" w:space="0"/>
              <w:right w:val="single" w:color="000000" w:sz="4" w:space="0"/>
            </w:tcBorders>
            <w:vAlign w:val="center"/>
          </w:tcPr>
          <w:p w14:paraId="1A2AC6F6">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p>
        </w:tc>
        <w:tc>
          <w:tcPr>
            <w:tcW w:w="2496" w:type="dxa"/>
            <w:tcBorders>
              <w:top w:val="nil"/>
              <w:left w:val="nil"/>
              <w:bottom w:val="single" w:color="000000" w:sz="4" w:space="0"/>
              <w:right w:val="single" w:color="000000" w:sz="4" w:space="0"/>
            </w:tcBorders>
            <w:shd w:val="clear" w:color="auto" w:fill="auto"/>
            <w:vAlign w:val="center"/>
          </w:tcPr>
          <w:p w14:paraId="1765F6EB">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第三阶梯</w:t>
            </w:r>
            <w:r>
              <w:rPr>
                <w:rFonts w:hint="eastAsia" w:ascii="方正仿宋_GBK" w:hAnsi="方正仿宋_GBK" w:eastAsia="方正仿宋_GBK" w:cs="方正仿宋_GBK"/>
                <w:b w:val="0"/>
                <w:bCs w:val="0"/>
                <w:color w:val="auto"/>
                <w:sz w:val="22"/>
                <w:szCs w:val="28"/>
                <w:highlight w:val="none"/>
                <w:lang w:val="en-US" w:eastAsia="zh-CN"/>
              </w:rPr>
              <w:br w:type="textWrapping"/>
            </w:r>
            <w:r>
              <w:rPr>
                <w:rFonts w:hint="eastAsia" w:ascii="方正仿宋_GBK" w:hAnsi="方正仿宋_GBK" w:eastAsia="方正仿宋_GBK" w:cs="方正仿宋_GBK"/>
                <w:b w:val="0"/>
                <w:bCs w:val="0"/>
                <w:color w:val="auto"/>
                <w:sz w:val="22"/>
                <w:szCs w:val="28"/>
                <w:highlight w:val="none"/>
                <w:lang w:val="en-US" w:eastAsia="zh-CN"/>
              </w:rPr>
              <w:t>（32m³以上）</w:t>
            </w:r>
          </w:p>
        </w:tc>
        <w:tc>
          <w:tcPr>
            <w:tcW w:w="1452" w:type="dxa"/>
            <w:tcBorders>
              <w:top w:val="nil"/>
              <w:left w:val="nil"/>
              <w:bottom w:val="single" w:color="000000" w:sz="4" w:space="0"/>
              <w:right w:val="single" w:color="000000" w:sz="4" w:space="0"/>
            </w:tcBorders>
            <w:shd w:val="clear" w:color="auto" w:fill="auto"/>
            <w:noWrap/>
            <w:vAlign w:val="center"/>
          </w:tcPr>
          <w:p w14:paraId="19B5294A">
            <w:pPr>
              <w:widowControl/>
              <w:adjustRightInd w:val="0"/>
              <w:spacing w:line="260" w:lineRule="exact"/>
              <w:ind w:firstLine="440" w:firstLineChars="200"/>
              <w:jc w:val="both"/>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4.59</w:t>
            </w:r>
          </w:p>
        </w:tc>
        <w:tc>
          <w:tcPr>
            <w:tcW w:w="1741" w:type="dxa"/>
            <w:tcBorders>
              <w:top w:val="nil"/>
              <w:left w:val="nil"/>
              <w:bottom w:val="single" w:color="000000" w:sz="4" w:space="0"/>
              <w:right w:val="single" w:color="000000" w:sz="4" w:space="0"/>
            </w:tcBorders>
            <w:shd w:val="clear" w:color="auto" w:fill="auto"/>
            <w:noWrap/>
            <w:vAlign w:val="center"/>
          </w:tcPr>
          <w:p w14:paraId="3C834C9A">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5.64</w:t>
            </w:r>
          </w:p>
        </w:tc>
        <w:tc>
          <w:tcPr>
            <w:tcW w:w="1528" w:type="dxa"/>
            <w:tcBorders>
              <w:top w:val="nil"/>
              <w:left w:val="nil"/>
              <w:bottom w:val="single" w:color="000000" w:sz="4" w:space="0"/>
              <w:right w:val="single" w:color="000000" w:sz="4" w:space="0"/>
            </w:tcBorders>
            <w:shd w:val="clear" w:color="auto" w:fill="auto"/>
            <w:noWrap/>
            <w:vAlign w:val="center"/>
          </w:tcPr>
          <w:p w14:paraId="13B6BDB5">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5.73</w:t>
            </w:r>
          </w:p>
        </w:tc>
      </w:tr>
      <w:tr w14:paraId="1E857B5E">
        <w:tblPrEx>
          <w:tblCellMar>
            <w:top w:w="0" w:type="dxa"/>
            <w:left w:w="108" w:type="dxa"/>
            <w:bottom w:w="0" w:type="dxa"/>
            <w:right w:w="108" w:type="dxa"/>
          </w:tblCellMar>
        </w:tblPrEx>
        <w:trPr>
          <w:trHeight w:val="499" w:hRule="atLeast"/>
        </w:trPr>
        <w:tc>
          <w:tcPr>
            <w:tcW w:w="1305" w:type="dxa"/>
            <w:vMerge w:val="continue"/>
            <w:tcBorders>
              <w:top w:val="nil"/>
              <w:left w:val="single" w:color="000000" w:sz="4" w:space="0"/>
              <w:bottom w:val="single" w:color="auto" w:sz="4" w:space="0"/>
              <w:right w:val="single" w:color="000000" w:sz="4" w:space="0"/>
            </w:tcBorders>
            <w:vAlign w:val="center"/>
          </w:tcPr>
          <w:p w14:paraId="52C3C916">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p>
        </w:tc>
        <w:tc>
          <w:tcPr>
            <w:tcW w:w="2496" w:type="dxa"/>
            <w:tcBorders>
              <w:top w:val="nil"/>
              <w:left w:val="nil"/>
              <w:bottom w:val="single" w:color="auto" w:sz="4" w:space="0"/>
              <w:right w:val="single" w:color="000000" w:sz="4" w:space="0"/>
            </w:tcBorders>
            <w:shd w:val="clear" w:color="auto" w:fill="auto"/>
            <w:noWrap/>
            <w:vAlign w:val="center"/>
          </w:tcPr>
          <w:p w14:paraId="14C46A79">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合表</w:t>
            </w:r>
          </w:p>
        </w:tc>
        <w:tc>
          <w:tcPr>
            <w:tcW w:w="1452" w:type="dxa"/>
            <w:tcBorders>
              <w:top w:val="nil"/>
              <w:left w:val="nil"/>
              <w:bottom w:val="single" w:color="auto" w:sz="4" w:space="0"/>
              <w:right w:val="single" w:color="000000" w:sz="4" w:space="0"/>
            </w:tcBorders>
            <w:shd w:val="clear" w:color="auto" w:fill="auto"/>
            <w:noWrap/>
            <w:vAlign w:val="center"/>
          </w:tcPr>
          <w:p w14:paraId="58CD2577">
            <w:pPr>
              <w:widowControl/>
              <w:adjustRightInd w:val="0"/>
              <w:spacing w:line="260" w:lineRule="exact"/>
              <w:ind w:firstLine="440" w:firstLineChars="200"/>
              <w:jc w:val="both"/>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1.75</w:t>
            </w:r>
          </w:p>
        </w:tc>
        <w:tc>
          <w:tcPr>
            <w:tcW w:w="1741" w:type="dxa"/>
            <w:tcBorders>
              <w:top w:val="nil"/>
              <w:left w:val="nil"/>
              <w:bottom w:val="single" w:color="auto" w:sz="4" w:space="0"/>
              <w:right w:val="single" w:color="000000" w:sz="4" w:space="0"/>
            </w:tcBorders>
            <w:shd w:val="clear" w:color="auto" w:fill="auto"/>
            <w:noWrap/>
            <w:vAlign w:val="center"/>
          </w:tcPr>
          <w:p w14:paraId="716EDB13">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2.15</w:t>
            </w:r>
          </w:p>
        </w:tc>
        <w:tc>
          <w:tcPr>
            <w:tcW w:w="1528" w:type="dxa"/>
            <w:tcBorders>
              <w:top w:val="nil"/>
              <w:left w:val="nil"/>
              <w:bottom w:val="single" w:color="auto" w:sz="4" w:space="0"/>
              <w:right w:val="single" w:color="000000" w:sz="4" w:space="0"/>
            </w:tcBorders>
            <w:shd w:val="clear" w:color="auto" w:fill="auto"/>
            <w:noWrap/>
            <w:vAlign w:val="center"/>
          </w:tcPr>
          <w:p w14:paraId="7CF4AEE5">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2.18</w:t>
            </w:r>
          </w:p>
        </w:tc>
      </w:tr>
      <w:tr w14:paraId="319D03F0">
        <w:tblPrEx>
          <w:tblCellMar>
            <w:top w:w="0" w:type="dxa"/>
            <w:left w:w="108" w:type="dxa"/>
            <w:bottom w:w="0" w:type="dxa"/>
            <w:right w:w="108" w:type="dxa"/>
          </w:tblCellMar>
        </w:tblPrEx>
        <w:trPr>
          <w:trHeight w:val="515" w:hRule="atLeast"/>
        </w:trPr>
        <w:tc>
          <w:tcPr>
            <w:tcW w:w="380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B1DDF13">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非居民生活用水</w:t>
            </w:r>
          </w:p>
        </w:tc>
        <w:tc>
          <w:tcPr>
            <w:tcW w:w="1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1F9BD5">
            <w:pPr>
              <w:widowControl/>
              <w:adjustRightInd w:val="0"/>
              <w:spacing w:line="260" w:lineRule="exact"/>
              <w:ind w:firstLine="440" w:firstLineChars="200"/>
              <w:jc w:val="both"/>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2.51</w:t>
            </w:r>
          </w:p>
        </w:tc>
        <w:tc>
          <w:tcPr>
            <w:tcW w:w="174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1DE728A">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2.44</w:t>
            </w:r>
          </w:p>
        </w:tc>
        <w:tc>
          <w:tcPr>
            <w:tcW w:w="1528" w:type="dxa"/>
            <w:vMerge w:val="restart"/>
            <w:tcBorders>
              <w:top w:val="single" w:color="auto" w:sz="4" w:space="0"/>
              <w:left w:val="single" w:color="auto" w:sz="4" w:space="0"/>
              <w:right w:val="single" w:color="auto" w:sz="4" w:space="0"/>
            </w:tcBorders>
            <w:shd w:val="clear" w:color="auto" w:fill="auto"/>
            <w:noWrap/>
            <w:vAlign w:val="center"/>
          </w:tcPr>
          <w:p w14:paraId="7688551E">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2.46</w:t>
            </w:r>
          </w:p>
        </w:tc>
      </w:tr>
      <w:tr w14:paraId="402675C0">
        <w:tblPrEx>
          <w:tblCellMar>
            <w:top w:w="0" w:type="dxa"/>
            <w:left w:w="108" w:type="dxa"/>
            <w:bottom w:w="0" w:type="dxa"/>
            <w:right w:w="108" w:type="dxa"/>
          </w:tblCellMar>
        </w:tblPrEx>
        <w:trPr>
          <w:trHeight w:val="499" w:hRule="atLeast"/>
        </w:trPr>
        <w:tc>
          <w:tcPr>
            <w:tcW w:w="130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EB9B102">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　</w:t>
            </w:r>
          </w:p>
        </w:tc>
        <w:tc>
          <w:tcPr>
            <w:tcW w:w="2496" w:type="dxa"/>
            <w:tcBorders>
              <w:top w:val="single" w:color="auto" w:sz="4" w:space="0"/>
              <w:left w:val="nil"/>
              <w:bottom w:val="single" w:color="000000" w:sz="4" w:space="0"/>
              <w:right w:val="single" w:color="000000" w:sz="4" w:space="0"/>
            </w:tcBorders>
            <w:shd w:val="clear" w:color="auto" w:fill="auto"/>
            <w:vAlign w:val="center"/>
          </w:tcPr>
          <w:p w14:paraId="16EA70BA">
            <w:pPr>
              <w:widowControl/>
              <w:adjustRightInd w:val="0"/>
              <w:spacing w:line="260" w:lineRule="exact"/>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其中：工业用水</w:t>
            </w:r>
          </w:p>
        </w:tc>
        <w:tc>
          <w:tcPr>
            <w:tcW w:w="1452" w:type="dxa"/>
            <w:tcBorders>
              <w:top w:val="single" w:color="auto" w:sz="4" w:space="0"/>
              <w:left w:val="nil"/>
              <w:bottom w:val="single" w:color="000000" w:sz="4" w:space="0"/>
              <w:right w:val="single" w:color="000000" w:sz="4" w:space="0"/>
            </w:tcBorders>
            <w:shd w:val="clear" w:color="auto" w:fill="auto"/>
            <w:noWrap/>
            <w:vAlign w:val="center"/>
          </w:tcPr>
          <w:p w14:paraId="7742B5C2">
            <w:pPr>
              <w:widowControl/>
              <w:adjustRightInd w:val="0"/>
              <w:spacing w:line="260" w:lineRule="exact"/>
              <w:ind w:firstLine="440" w:firstLineChars="200"/>
              <w:jc w:val="both"/>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1.86</w:t>
            </w:r>
          </w:p>
        </w:tc>
        <w:tc>
          <w:tcPr>
            <w:tcW w:w="1741" w:type="dxa"/>
            <w:vMerge w:val="continue"/>
            <w:tcBorders>
              <w:top w:val="single" w:color="auto" w:sz="4" w:space="0"/>
              <w:left w:val="single" w:color="000000" w:sz="4" w:space="0"/>
              <w:bottom w:val="single" w:color="000000" w:sz="4" w:space="0"/>
              <w:right w:val="single" w:color="000000" w:sz="4" w:space="0"/>
            </w:tcBorders>
            <w:vAlign w:val="center"/>
          </w:tcPr>
          <w:p w14:paraId="4893788E">
            <w:pPr>
              <w:widowControl/>
              <w:adjustRightInd w:val="0"/>
              <w:spacing w:line="260" w:lineRule="exact"/>
              <w:ind w:firstLine="440" w:firstLineChars="200"/>
              <w:jc w:val="center"/>
              <w:rPr>
                <w:rFonts w:hint="eastAsia" w:ascii="方正仿宋_GBK" w:hAnsi="方正仿宋_GBK" w:eastAsia="方正仿宋_GBK" w:cs="方正仿宋_GBK"/>
                <w:b w:val="0"/>
                <w:bCs w:val="0"/>
                <w:color w:val="auto"/>
                <w:sz w:val="22"/>
                <w:szCs w:val="28"/>
                <w:highlight w:val="none"/>
                <w:lang w:val="en-US" w:eastAsia="zh-CN"/>
              </w:rPr>
            </w:pPr>
          </w:p>
        </w:tc>
        <w:tc>
          <w:tcPr>
            <w:tcW w:w="1528" w:type="dxa"/>
            <w:vMerge w:val="continue"/>
            <w:tcBorders>
              <w:left w:val="single" w:color="auto" w:sz="4" w:space="0"/>
              <w:bottom w:val="single" w:color="000000" w:sz="4" w:space="0"/>
              <w:right w:val="single" w:color="auto" w:sz="4" w:space="0"/>
            </w:tcBorders>
            <w:vAlign w:val="center"/>
          </w:tcPr>
          <w:p w14:paraId="52DAD265">
            <w:pPr>
              <w:widowControl/>
              <w:adjustRightInd w:val="0"/>
              <w:spacing w:line="260" w:lineRule="exact"/>
              <w:ind w:firstLine="440" w:firstLineChars="200"/>
              <w:jc w:val="center"/>
              <w:rPr>
                <w:rFonts w:hint="eastAsia" w:ascii="方正仿宋_GBK" w:hAnsi="方正仿宋_GBK" w:eastAsia="方正仿宋_GBK" w:cs="方正仿宋_GBK"/>
                <w:b w:val="0"/>
                <w:bCs w:val="0"/>
                <w:color w:val="auto"/>
                <w:sz w:val="22"/>
                <w:szCs w:val="28"/>
                <w:highlight w:val="none"/>
                <w:lang w:val="en-US" w:eastAsia="zh-CN"/>
              </w:rPr>
            </w:pPr>
          </w:p>
        </w:tc>
      </w:tr>
      <w:tr w14:paraId="5624C284">
        <w:tblPrEx>
          <w:tblCellMar>
            <w:top w:w="0" w:type="dxa"/>
            <w:left w:w="108" w:type="dxa"/>
            <w:bottom w:w="0" w:type="dxa"/>
            <w:right w:w="108" w:type="dxa"/>
          </w:tblCellMar>
        </w:tblPrEx>
        <w:trPr>
          <w:trHeight w:val="499" w:hRule="atLeast"/>
        </w:trPr>
        <w:tc>
          <w:tcPr>
            <w:tcW w:w="3801" w:type="dxa"/>
            <w:gridSpan w:val="2"/>
            <w:tcBorders>
              <w:top w:val="single" w:color="000000" w:sz="4" w:space="0"/>
              <w:left w:val="single" w:color="000000" w:sz="4" w:space="0"/>
              <w:bottom w:val="single" w:color="auto" w:sz="4" w:space="0"/>
              <w:right w:val="single" w:color="000000" w:sz="4" w:space="0"/>
            </w:tcBorders>
            <w:shd w:val="clear" w:color="auto" w:fill="auto"/>
            <w:noWrap/>
            <w:vAlign w:val="center"/>
          </w:tcPr>
          <w:p w14:paraId="315BF573">
            <w:pPr>
              <w:widowControl/>
              <w:adjustRightInd w:val="0"/>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特种用水</w:t>
            </w:r>
          </w:p>
        </w:tc>
        <w:tc>
          <w:tcPr>
            <w:tcW w:w="1452" w:type="dxa"/>
            <w:tcBorders>
              <w:top w:val="nil"/>
              <w:left w:val="nil"/>
              <w:bottom w:val="single" w:color="auto" w:sz="4" w:space="0"/>
              <w:right w:val="single" w:color="000000" w:sz="4" w:space="0"/>
            </w:tcBorders>
            <w:shd w:val="clear" w:color="auto" w:fill="auto"/>
            <w:noWrap/>
            <w:vAlign w:val="center"/>
          </w:tcPr>
          <w:p w14:paraId="42F2992B">
            <w:pPr>
              <w:widowControl/>
              <w:adjustRightInd w:val="0"/>
              <w:spacing w:line="260" w:lineRule="exact"/>
              <w:ind w:firstLine="440" w:firstLineChars="200"/>
              <w:jc w:val="both"/>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4.36</w:t>
            </w:r>
          </w:p>
        </w:tc>
        <w:tc>
          <w:tcPr>
            <w:tcW w:w="1741" w:type="dxa"/>
            <w:tcBorders>
              <w:top w:val="nil"/>
              <w:left w:val="nil"/>
              <w:bottom w:val="single" w:color="auto" w:sz="4" w:space="0"/>
              <w:right w:val="single" w:color="000000" w:sz="4" w:space="0"/>
            </w:tcBorders>
            <w:shd w:val="clear" w:color="auto" w:fill="auto"/>
            <w:noWrap/>
            <w:vAlign w:val="center"/>
          </w:tcPr>
          <w:p w14:paraId="79FC5CAE">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6.5</w:t>
            </w:r>
          </w:p>
        </w:tc>
        <w:tc>
          <w:tcPr>
            <w:tcW w:w="1528" w:type="dxa"/>
            <w:tcBorders>
              <w:top w:val="nil"/>
              <w:left w:val="nil"/>
              <w:bottom w:val="single" w:color="auto" w:sz="4" w:space="0"/>
              <w:right w:val="single" w:color="000000" w:sz="4" w:space="0"/>
            </w:tcBorders>
            <w:shd w:val="clear" w:color="auto" w:fill="auto"/>
            <w:noWrap/>
            <w:vAlign w:val="center"/>
          </w:tcPr>
          <w:p w14:paraId="6BFA7EE6">
            <w:pPr>
              <w:widowControl/>
              <w:adjustRightInd w:val="0"/>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7</w:t>
            </w:r>
          </w:p>
        </w:tc>
      </w:tr>
      <w:tr w14:paraId="2747614B">
        <w:tblPrEx>
          <w:tblCellMar>
            <w:top w:w="0" w:type="dxa"/>
            <w:left w:w="108" w:type="dxa"/>
            <w:bottom w:w="0" w:type="dxa"/>
            <w:right w:w="108" w:type="dxa"/>
          </w:tblCellMar>
        </w:tblPrEx>
        <w:trPr>
          <w:trHeight w:val="499" w:hRule="atLeast"/>
        </w:trPr>
        <w:tc>
          <w:tcPr>
            <w:tcW w:w="380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6CD3BBA">
            <w:pPr>
              <w:widowControl/>
              <w:numPr>
                <w:ilvl w:val="0"/>
                <w:numId w:val="0"/>
              </w:numPr>
              <w:adjustRightInd w:val="0"/>
              <w:snapToGrid/>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综合平均价</w:t>
            </w:r>
          </w:p>
        </w:tc>
        <w:tc>
          <w:tcPr>
            <w:tcW w:w="1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856839">
            <w:pPr>
              <w:widowControl/>
              <w:numPr>
                <w:ilvl w:val="0"/>
                <w:numId w:val="0"/>
              </w:numPr>
              <w:adjustRightInd w:val="0"/>
              <w:snapToGrid/>
              <w:spacing w:line="260" w:lineRule="exact"/>
              <w:ind w:firstLine="440" w:firstLineChars="200"/>
              <w:jc w:val="both"/>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1.92</w:t>
            </w:r>
          </w:p>
        </w:tc>
        <w:tc>
          <w:tcPr>
            <w:tcW w:w="174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F0E77B">
            <w:pPr>
              <w:widowControl/>
              <w:numPr>
                <w:ilvl w:val="0"/>
                <w:numId w:val="0"/>
              </w:numPr>
              <w:adjustRightInd w:val="0"/>
              <w:snapToGrid/>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2.28</w:t>
            </w:r>
          </w:p>
        </w:tc>
        <w:tc>
          <w:tcPr>
            <w:tcW w:w="152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DE3276">
            <w:pPr>
              <w:widowControl/>
              <w:numPr>
                <w:ilvl w:val="0"/>
                <w:numId w:val="0"/>
              </w:numPr>
              <w:adjustRightInd w:val="0"/>
              <w:snapToGrid/>
              <w:spacing w:line="260" w:lineRule="exact"/>
              <w:jc w:val="center"/>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2.31</w:t>
            </w:r>
            <w:bookmarkStart w:id="0" w:name="_GoBack"/>
            <w:bookmarkEnd w:id="0"/>
          </w:p>
        </w:tc>
      </w:tr>
      <w:tr w14:paraId="3EF94B93">
        <w:tblPrEx>
          <w:tblCellMar>
            <w:top w:w="0" w:type="dxa"/>
            <w:left w:w="108" w:type="dxa"/>
            <w:bottom w:w="0" w:type="dxa"/>
            <w:right w:w="108" w:type="dxa"/>
          </w:tblCellMar>
        </w:tblPrEx>
        <w:trPr>
          <w:trHeight w:val="499" w:hRule="atLeast"/>
        </w:trPr>
        <w:tc>
          <w:tcPr>
            <w:tcW w:w="852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473229AA">
            <w:pPr>
              <w:widowControl/>
              <w:numPr>
                <w:ilvl w:val="0"/>
                <w:numId w:val="0"/>
              </w:numPr>
              <w:adjustRightInd w:val="0"/>
              <w:snapToGrid/>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备注：</w:t>
            </w:r>
          </w:p>
          <w:p w14:paraId="4B67C8FB">
            <w:pPr>
              <w:widowControl/>
              <w:numPr>
                <w:ilvl w:val="0"/>
                <w:numId w:val="0"/>
              </w:numPr>
              <w:adjustRightInd w:val="0"/>
              <w:snapToGrid/>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1.居民生活用水是指城镇居民住宅家庭的日常生活用水，机关、部队、企事业单位等集体宿舍用水，以及国家和省、市有关政策规定按照居民生活类用水价格执行的特定用水。</w:t>
            </w:r>
          </w:p>
          <w:p w14:paraId="00EE3D4A">
            <w:pPr>
              <w:widowControl/>
              <w:numPr>
                <w:ilvl w:val="0"/>
                <w:numId w:val="0"/>
              </w:numPr>
              <w:adjustRightInd w:val="0"/>
              <w:snapToGrid/>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2.非居民用水主要指工业、经营服务用水和行政事业单位用水、市政用水（环卫、绿化）、生态用水、消防用水等（原</w:t>
            </w:r>
            <w:r>
              <w:rPr>
                <w:rFonts w:hint="eastAsia" w:ascii="方正仿宋_GBK" w:hAnsi="方正仿宋_GBK" w:eastAsia="方正仿宋_GBK" w:cs="方正仿宋_GBK"/>
                <w:color w:val="auto"/>
                <w:sz w:val="22"/>
                <w:szCs w:val="28"/>
                <w:highlight w:val="none"/>
              </w:rPr>
              <w:t>工业用水简化分类为非居民用水</w:t>
            </w:r>
            <w:r>
              <w:rPr>
                <w:rFonts w:hint="eastAsia" w:ascii="方正仿宋_GBK" w:hAnsi="方正仿宋_GBK" w:eastAsia="方正仿宋_GBK" w:cs="方正仿宋_GBK"/>
                <w:b w:val="0"/>
                <w:bCs w:val="0"/>
                <w:color w:val="auto"/>
                <w:sz w:val="22"/>
                <w:szCs w:val="28"/>
                <w:highlight w:val="none"/>
                <w:lang w:val="en-US" w:eastAsia="zh-CN"/>
              </w:rPr>
              <w:t>）。</w:t>
            </w:r>
          </w:p>
          <w:p w14:paraId="2C7A5C29">
            <w:pPr>
              <w:widowControl/>
              <w:numPr>
                <w:ilvl w:val="0"/>
                <w:numId w:val="0"/>
              </w:numPr>
              <w:adjustRightInd w:val="0"/>
              <w:snapToGrid/>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3.特种用水是指洗车、以自来水为原料的纯净水生产、高尔夫球场用水等。</w:t>
            </w:r>
          </w:p>
          <w:p w14:paraId="440462DE">
            <w:pPr>
              <w:widowControl/>
              <w:numPr>
                <w:ilvl w:val="0"/>
                <w:numId w:val="0"/>
              </w:numPr>
              <w:adjustRightInd w:val="0"/>
              <w:snapToGrid/>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4.已实行一户一表的居民生活用水户执行阶梯水价；尚未实行抄表到户的合表户居民用户和执行居民生活用水价格的非居民用户，执行居民生活用水合表水价。</w:t>
            </w:r>
          </w:p>
          <w:p w14:paraId="639BD5F3">
            <w:pPr>
              <w:widowControl/>
              <w:numPr>
                <w:ilvl w:val="0"/>
                <w:numId w:val="0"/>
              </w:numPr>
              <w:adjustRightInd w:val="0"/>
              <w:snapToGrid/>
              <w:spacing w:line="260" w:lineRule="exact"/>
              <w:ind w:firstLine="440" w:firstLineChars="200"/>
              <w:jc w:val="left"/>
              <w:rPr>
                <w:rFonts w:hint="eastAsia" w:ascii="方正仿宋_GBK" w:hAnsi="方正仿宋_GBK" w:eastAsia="方正仿宋_GBK" w:cs="方正仿宋_GBK"/>
                <w:b w:val="0"/>
                <w:bCs w:val="0"/>
                <w:color w:val="auto"/>
                <w:sz w:val="22"/>
                <w:szCs w:val="28"/>
                <w:highlight w:val="none"/>
                <w:lang w:val="en-US" w:eastAsia="zh-CN"/>
              </w:rPr>
            </w:pPr>
            <w:r>
              <w:rPr>
                <w:rFonts w:hint="eastAsia" w:ascii="方正仿宋_GBK" w:hAnsi="方正仿宋_GBK" w:eastAsia="方正仿宋_GBK" w:cs="方正仿宋_GBK"/>
                <w:b w:val="0"/>
                <w:bCs w:val="0"/>
                <w:color w:val="auto"/>
                <w:sz w:val="22"/>
                <w:szCs w:val="28"/>
                <w:highlight w:val="none"/>
                <w:lang w:val="en-US" w:eastAsia="zh-CN"/>
              </w:rPr>
              <w:t>5.上表价格含水资源税0.20元/立方米。</w:t>
            </w:r>
          </w:p>
        </w:tc>
      </w:tr>
    </w:tbl>
    <w:p w14:paraId="0FF87F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四、配套措施</w:t>
      </w:r>
    </w:p>
    <w:p w14:paraId="7C9779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（一）水价优惠政策</w:t>
      </w:r>
    </w:p>
    <w:p w14:paraId="2041FAA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居民生活用水原则上以住宅为单位确定（每户4人及以下），一个房产证明对应为一个居民家庭户，没有房产证明的，以供水企业为居民安装的水表为单位，如家庭用水人口超过4人的，可根据用水地址和对应的户口簿、居住证向供水企业申请增加用水人口，每增加1人，可在各级水量基础上每月相应增加6立方米。</w:t>
      </w:r>
    </w:p>
    <w:p w14:paraId="3891E6E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养老机构、残疾人托养机构等社会福利场所及婴幼儿照护服务机构生活用水、学校教学和学生生活用水、家政企业在社区设置的服务网点用水、宗教场所生活用水、社区组织工作用房和居民公益性服务设施用水等，以及尚</w:t>
      </w:r>
      <w:r>
        <w:rPr>
          <w:rFonts w:hint="eastAsia" w:ascii="方正仿宋_GBK" w:hAnsi="方正仿宋_GBK" w:eastAsia="方正仿宋_GBK" w:cs="方正仿宋_GBK"/>
          <w:color w:val="auto"/>
          <w:sz w:val="32"/>
          <w:szCs w:val="32"/>
          <w:lang w:val="en-US" w:eastAsia="zh-CN"/>
        </w:rPr>
        <w:t>未</w:t>
      </w:r>
      <w:r>
        <w:rPr>
          <w:rFonts w:hint="eastAsia" w:ascii="方正仿宋_GBK" w:hAnsi="方正仿宋_GBK" w:eastAsia="方正仿宋_GBK" w:cs="方正仿宋_GBK"/>
          <w:color w:val="auto"/>
          <w:sz w:val="32"/>
          <w:szCs w:val="32"/>
        </w:rPr>
        <w:t>实行</w:t>
      </w:r>
      <w:r>
        <w:rPr>
          <w:rFonts w:hint="eastAsia" w:ascii="方正仿宋_GBK" w:hAnsi="方正仿宋_GBK" w:eastAsia="方正仿宋_GBK" w:cs="方正仿宋_GBK"/>
          <w:color w:val="auto"/>
          <w:sz w:val="32"/>
          <w:szCs w:val="32"/>
          <w:lang w:eastAsia="zh-CN"/>
        </w:rPr>
        <w:t>抄表到户的合表户居民</w:t>
      </w:r>
      <w:r>
        <w:rPr>
          <w:rFonts w:hint="eastAsia" w:ascii="方正仿宋_GBK" w:hAnsi="方正仿宋_GBK" w:eastAsia="方正仿宋_GBK" w:cs="方正仿宋_GBK"/>
          <w:color w:val="auto"/>
          <w:sz w:val="32"/>
          <w:szCs w:val="32"/>
        </w:rPr>
        <w:t>，按照居民生活用水合表水价标准执行。</w:t>
      </w:r>
    </w:p>
    <w:p w14:paraId="56383E2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对低收入群体（如</w:t>
      </w:r>
      <w:r>
        <w:rPr>
          <w:rFonts w:hint="eastAsia" w:ascii="方正仿宋_GBK" w:hAnsi="方正仿宋_GBK" w:eastAsia="方正仿宋_GBK" w:cs="方正仿宋_GBK"/>
          <w:color w:val="auto"/>
          <w:sz w:val="32"/>
          <w:szCs w:val="32"/>
          <w:lang w:val="en-US" w:eastAsia="zh-CN"/>
        </w:rPr>
        <w:t>特困人员、</w:t>
      </w:r>
      <w:r>
        <w:rPr>
          <w:rFonts w:hint="eastAsia" w:ascii="方正仿宋_GBK" w:hAnsi="方正仿宋_GBK" w:eastAsia="方正仿宋_GBK" w:cs="方正仿宋_GBK"/>
          <w:color w:val="auto"/>
          <w:sz w:val="32"/>
          <w:szCs w:val="32"/>
        </w:rPr>
        <w:t>低保对象、低保边缘家庭、支出型困难家庭等）实行减免水费优惠政策。对民政部门认定的低收入群体每户每月减免10立方米的用水费，扣除免费用水量后的水量部分按照阶梯水价收取。</w:t>
      </w:r>
    </w:p>
    <w:p w14:paraId="4FAE0F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（二）优化城镇供水上下游价格联动机制</w:t>
      </w:r>
    </w:p>
    <w:p w14:paraId="0CD97B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根据</w:t>
      </w:r>
      <w:r>
        <w:rPr>
          <w:rFonts w:hint="eastAsia" w:ascii="方正仿宋_GBK" w:hAnsi="方正仿宋_GBK" w:eastAsia="方正仿宋_GBK" w:cs="方正仿宋_GBK"/>
          <w:color w:val="auto"/>
          <w:sz w:val="32"/>
          <w:szCs w:val="32"/>
          <w:lang w:val="en-US" w:eastAsia="zh-CN"/>
        </w:rPr>
        <w:t>国家和省城镇</w:t>
      </w:r>
      <w:r>
        <w:rPr>
          <w:rFonts w:hint="eastAsia" w:ascii="方正仿宋_GBK" w:hAnsi="方正仿宋_GBK" w:eastAsia="方正仿宋_GBK" w:cs="方正仿宋_GBK"/>
          <w:color w:val="auto"/>
          <w:sz w:val="32"/>
          <w:szCs w:val="32"/>
        </w:rPr>
        <w:t>供水价格管理办法要求，建立供水价格与原水价格、水资源</w:t>
      </w:r>
      <w:r>
        <w:rPr>
          <w:rFonts w:hint="eastAsia" w:ascii="方正仿宋_GBK" w:hAnsi="方正仿宋_GBK" w:eastAsia="方正仿宋_GBK" w:cs="方正仿宋_GBK"/>
          <w:color w:val="auto"/>
          <w:sz w:val="32"/>
          <w:szCs w:val="32"/>
          <w:lang w:eastAsia="zh-CN"/>
        </w:rPr>
        <w:t>税</w:t>
      </w:r>
      <w:r>
        <w:rPr>
          <w:rFonts w:hint="eastAsia" w:ascii="方正仿宋_GBK" w:hAnsi="方正仿宋_GBK" w:eastAsia="方正仿宋_GBK" w:cs="方正仿宋_GBK"/>
          <w:color w:val="auto"/>
          <w:sz w:val="32"/>
          <w:szCs w:val="32"/>
        </w:rPr>
        <w:t>征收标准等上下游联动机制。当水资源税、原水价格发生调整时，由供水企业按规定程序提出申请，经价格主管部门核定，按程序报</w:t>
      </w:r>
      <w:r>
        <w:rPr>
          <w:rFonts w:hint="eastAsia" w:ascii="方正仿宋_GBK" w:hAnsi="方正仿宋_GBK" w:eastAsia="方正仿宋_GBK" w:cs="方正仿宋_GBK"/>
          <w:color w:val="auto"/>
          <w:sz w:val="32"/>
          <w:szCs w:val="32"/>
          <w:lang w:eastAsia="zh-CN"/>
        </w:rPr>
        <w:t>市政府审批同意后</w:t>
      </w:r>
      <w:r>
        <w:rPr>
          <w:rFonts w:hint="eastAsia" w:ascii="方正仿宋_GBK" w:hAnsi="方正仿宋_GBK" w:eastAsia="方正仿宋_GBK" w:cs="方正仿宋_GBK"/>
          <w:color w:val="auto"/>
          <w:sz w:val="32"/>
          <w:szCs w:val="32"/>
        </w:rPr>
        <w:t>实施，不再另行召开听证会。</w:t>
      </w:r>
    </w:p>
    <w:p w14:paraId="221CDCD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水价联动调整额=</w:t>
      </w:r>
      <w:r>
        <w:rPr>
          <w:rFonts w:hint="eastAsia" w:ascii="方正仿宋_GBK" w:hAnsi="方正仿宋_GBK" w:eastAsia="方正仿宋_GBK" w:cs="方正仿宋_GBK"/>
          <w:color w:val="auto"/>
          <w:sz w:val="32"/>
          <w:szCs w:val="32"/>
          <w:lang w:val="en"/>
        </w:rPr>
        <w:t>[</w:t>
      </w:r>
      <w:r>
        <w:rPr>
          <w:rFonts w:hint="eastAsia" w:ascii="方正仿宋_GBK" w:hAnsi="方正仿宋_GBK" w:eastAsia="方正仿宋_GBK" w:cs="方正仿宋_GBK"/>
          <w:color w:val="auto"/>
          <w:sz w:val="32"/>
          <w:szCs w:val="32"/>
        </w:rPr>
        <w:t>水资源税调整额×上一年水资源税计缴量+原水价格调整额×上一年原水采购量</w:t>
      </w:r>
      <w:r>
        <w:rPr>
          <w:rFonts w:hint="eastAsia" w:ascii="方正仿宋_GBK" w:hAnsi="方正仿宋_GBK" w:eastAsia="方正仿宋_GBK" w:cs="方正仿宋_GBK"/>
          <w:color w:val="auto"/>
          <w:sz w:val="32"/>
          <w:szCs w:val="32"/>
          <w:lang w:val="en"/>
        </w:rPr>
        <w:t>]</w:t>
      </w:r>
      <w:r>
        <w:rPr>
          <w:rFonts w:hint="eastAsia" w:ascii="方正仿宋_GBK" w:hAnsi="方正仿宋_GBK" w:eastAsia="方正仿宋_GBK" w:cs="方正仿宋_GBK"/>
          <w:color w:val="auto"/>
          <w:sz w:val="32"/>
          <w:szCs w:val="32"/>
        </w:rPr>
        <w:t>÷上一年核定供水量×（1+税率）</w:t>
      </w:r>
    </w:p>
    <w:p w14:paraId="57E3F0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说明：①水资源税调整额</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调整后的水资源税征收标准－调整前的水资源税征收标准；原水价格调整额</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调整后的原水价格－调整前的原水价格。</w:t>
      </w:r>
    </w:p>
    <w:p w14:paraId="3DB564F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②税率</w:t>
      </w:r>
      <w:r>
        <w:rPr>
          <w:rFonts w:hint="eastAsia" w:ascii="方正仿宋_GBK" w:hAnsi="方正仿宋_GBK" w:eastAsia="方正仿宋_GBK" w:cs="方正仿宋_GBK"/>
          <w:color w:val="auto"/>
          <w:sz w:val="32"/>
          <w:szCs w:val="32"/>
          <w:lang w:eastAsia="zh-CN"/>
        </w:rPr>
        <w:t>为增值税、城建税及教育费附加的综合水平</w:t>
      </w:r>
      <w:r>
        <w:rPr>
          <w:rFonts w:hint="eastAsia" w:ascii="方正仿宋_GBK" w:hAnsi="方正仿宋_GBK" w:eastAsia="方正仿宋_GBK" w:cs="方正仿宋_GBK"/>
          <w:color w:val="auto"/>
          <w:sz w:val="32"/>
          <w:szCs w:val="32"/>
        </w:rPr>
        <w:t>。</w:t>
      </w:r>
    </w:p>
    <w:p w14:paraId="5A69962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③核定供水量=取水量×（1-自用水率）×（1-漏损率），取水量包含水资源税计缴量、原水采购量。</w:t>
      </w:r>
    </w:p>
    <w:p w14:paraId="6E10C77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当上一年度实际供水量不低于设计供水量的65%时，计价水量=上一年度核定供水量；当上一年度实际供水量低于设计供水量的65%时，计价水量={上一年度核定供水量÷[上一年度实际供水量÷（设计供水量×65%）]}。</w:t>
      </w:r>
      <w:r>
        <w:rPr>
          <w:rFonts w:hint="eastAsia" w:ascii="方正仿宋_GBK" w:hAnsi="方正仿宋_GBK" w:eastAsia="方正仿宋_GBK" w:cs="方正仿宋_GBK"/>
          <w:color w:val="auto"/>
          <w:sz w:val="32"/>
          <w:szCs w:val="32"/>
          <w:lang w:val="en-US" w:eastAsia="zh-CN"/>
        </w:rPr>
        <w:t>其中自用水率、漏损率由价格主管部门核定。</w:t>
      </w:r>
    </w:p>
    <w:p w14:paraId="4880519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楷体" w:hAnsi="楷体" w:eastAsia="黑体" w:cs="楷体"/>
          <w:color w:val="auto"/>
          <w:sz w:val="32"/>
          <w:szCs w:val="32"/>
        </w:rPr>
      </w:pPr>
      <w:r>
        <w:rPr>
          <w:rFonts w:hint="eastAsia" w:ascii="黑体" w:hAnsi="黑体" w:eastAsia="黑体" w:cs="黑体"/>
          <w:color w:val="auto"/>
          <w:sz w:val="32"/>
          <w:szCs w:val="32"/>
        </w:rPr>
        <w:t>五、调价方案影响分析</w:t>
      </w:r>
    </w:p>
    <w:p w14:paraId="4B0CA8E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（一）对居民用户的影响</w:t>
      </w:r>
    </w:p>
    <w:p w14:paraId="0E08D4B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color w:val="auto"/>
          <w:sz w:val="32"/>
          <w:szCs w:val="32"/>
        </w:rPr>
        <w:t>据</w:t>
      </w:r>
      <w:r>
        <w:rPr>
          <w:rFonts w:hint="eastAsia" w:ascii="方正仿宋_GBK" w:hAnsi="方正仿宋_GBK" w:eastAsia="方正仿宋_GBK" w:cs="方正仿宋_GBK"/>
          <w:color w:val="auto"/>
          <w:sz w:val="32"/>
          <w:szCs w:val="32"/>
          <w:lang w:eastAsia="zh-CN"/>
        </w:rPr>
        <w:t>蓬江区、江海区居民用户</w:t>
      </w:r>
      <w:r>
        <w:rPr>
          <w:rFonts w:hint="eastAsia" w:ascii="方正仿宋_GBK" w:hAnsi="方正仿宋_GBK" w:eastAsia="方正仿宋_GBK" w:cs="方正仿宋_GBK"/>
          <w:color w:val="auto"/>
          <w:sz w:val="32"/>
          <w:szCs w:val="32"/>
          <w:lang w:val="en-US" w:eastAsia="zh-CN"/>
        </w:rPr>
        <w:t>2024年</w:t>
      </w:r>
      <w:r>
        <w:rPr>
          <w:rFonts w:hint="eastAsia" w:ascii="方正仿宋_GBK" w:hAnsi="方正仿宋_GBK" w:eastAsia="方正仿宋_GBK" w:cs="方正仿宋_GBK"/>
          <w:color w:val="auto"/>
          <w:sz w:val="32"/>
          <w:szCs w:val="32"/>
          <w:lang w:eastAsia="zh-CN"/>
        </w:rPr>
        <w:t>实际用水情况</w:t>
      </w:r>
      <w:r>
        <w:rPr>
          <w:rFonts w:hint="eastAsia" w:ascii="方正仿宋_GBK" w:hAnsi="方正仿宋_GBK" w:eastAsia="方正仿宋_GBK" w:cs="方正仿宋_GBK"/>
          <w:color w:val="auto"/>
          <w:sz w:val="32"/>
          <w:szCs w:val="32"/>
        </w:rPr>
        <w:t>测算，</w:t>
      </w:r>
      <w:r>
        <w:rPr>
          <w:rFonts w:hint="eastAsia" w:ascii="方正仿宋_GBK" w:hAnsi="方正仿宋_GBK" w:eastAsia="方正仿宋_GBK" w:cs="方正仿宋_GBK"/>
          <w:color w:val="auto"/>
          <w:sz w:val="32"/>
          <w:szCs w:val="32"/>
          <w:lang w:val="en-US" w:eastAsia="zh-CN"/>
        </w:rPr>
        <w:t>蓬江区、江海区居民用户月均用水量约11立方米，</w:t>
      </w:r>
      <w:r>
        <w:rPr>
          <w:rFonts w:hint="eastAsia" w:ascii="方正仿宋_GBK" w:hAnsi="方正仿宋_GBK" w:eastAsia="方正仿宋_GBK" w:cs="方正仿宋_GBK"/>
          <w:b w:val="0"/>
          <w:bCs w:val="0"/>
          <w:color w:val="auto"/>
          <w:sz w:val="32"/>
          <w:szCs w:val="32"/>
        </w:rPr>
        <w:t>水价调整后，按方案一</w:t>
      </w:r>
      <w:r>
        <w:rPr>
          <w:rFonts w:hint="eastAsia" w:ascii="方正仿宋_GBK" w:hAnsi="方正仿宋_GBK" w:eastAsia="方正仿宋_GBK" w:cs="方正仿宋_GBK"/>
          <w:b w:val="0"/>
          <w:bCs w:val="0"/>
          <w:color w:val="auto"/>
          <w:sz w:val="32"/>
          <w:szCs w:val="32"/>
          <w:lang w:val="en-US" w:eastAsia="zh-CN"/>
        </w:rPr>
        <w:t>第一阶梯的</w:t>
      </w:r>
      <w:r>
        <w:rPr>
          <w:rFonts w:hint="eastAsia" w:ascii="方正仿宋_GBK" w:hAnsi="方正仿宋_GBK" w:eastAsia="方正仿宋_GBK" w:cs="方正仿宋_GBK"/>
          <w:b w:val="0"/>
          <w:bCs w:val="0"/>
          <w:color w:val="auto"/>
          <w:sz w:val="32"/>
          <w:szCs w:val="32"/>
        </w:rPr>
        <w:t>居民用户水费增加支出约</w:t>
      </w:r>
      <w:r>
        <w:rPr>
          <w:rFonts w:hint="eastAsia" w:ascii="方正仿宋_GBK" w:hAnsi="方正仿宋_GBK" w:eastAsia="方正仿宋_GBK" w:cs="方正仿宋_GBK"/>
          <w:b w:val="0"/>
          <w:bCs w:val="0"/>
          <w:color w:val="auto"/>
          <w:sz w:val="32"/>
          <w:szCs w:val="32"/>
          <w:lang w:val="en-US" w:eastAsia="zh-CN"/>
        </w:rPr>
        <w:t>3.85</w:t>
      </w:r>
      <w:r>
        <w:rPr>
          <w:rFonts w:hint="eastAsia" w:ascii="方正仿宋_GBK" w:hAnsi="方正仿宋_GBK" w:eastAsia="方正仿宋_GBK" w:cs="方正仿宋_GBK"/>
          <w:b w:val="0"/>
          <w:bCs w:val="0"/>
          <w:color w:val="auto"/>
          <w:sz w:val="32"/>
          <w:szCs w:val="32"/>
        </w:rPr>
        <w:t>元/月，按方案二</w:t>
      </w:r>
      <w:r>
        <w:rPr>
          <w:rFonts w:hint="eastAsia" w:ascii="方正仿宋_GBK" w:hAnsi="方正仿宋_GBK" w:eastAsia="方正仿宋_GBK" w:cs="方正仿宋_GBK"/>
          <w:b w:val="0"/>
          <w:bCs w:val="0"/>
          <w:color w:val="auto"/>
          <w:sz w:val="32"/>
          <w:szCs w:val="32"/>
          <w:lang w:val="en-US" w:eastAsia="zh-CN"/>
        </w:rPr>
        <w:t>第一阶梯的</w:t>
      </w:r>
      <w:r>
        <w:rPr>
          <w:rFonts w:hint="eastAsia" w:ascii="方正仿宋_GBK" w:hAnsi="方正仿宋_GBK" w:eastAsia="方正仿宋_GBK" w:cs="方正仿宋_GBK"/>
          <w:b w:val="0"/>
          <w:bCs w:val="0"/>
          <w:color w:val="auto"/>
          <w:sz w:val="32"/>
          <w:szCs w:val="32"/>
        </w:rPr>
        <w:t>居民用户水费增加支出约4.</w:t>
      </w:r>
      <w:r>
        <w:rPr>
          <w:rFonts w:hint="eastAsia" w:ascii="方正仿宋_GBK" w:hAnsi="方正仿宋_GBK" w:eastAsia="方正仿宋_GBK" w:cs="方正仿宋_GBK"/>
          <w:b w:val="0"/>
          <w:bCs w:val="0"/>
          <w:color w:val="auto"/>
          <w:sz w:val="32"/>
          <w:szCs w:val="32"/>
          <w:lang w:val="en-US" w:eastAsia="zh-CN"/>
        </w:rPr>
        <w:t>18</w:t>
      </w:r>
      <w:r>
        <w:rPr>
          <w:rFonts w:hint="eastAsia" w:ascii="方正仿宋_GBK" w:hAnsi="方正仿宋_GBK" w:eastAsia="方正仿宋_GBK" w:cs="方正仿宋_GBK"/>
          <w:b w:val="0"/>
          <w:bCs w:val="0"/>
          <w:color w:val="auto"/>
          <w:sz w:val="32"/>
          <w:szCs w:val="32"/>
        </w:rPr>
        <w:t>元</w:t>
      </w:r>
      <w:r>
        <w:rPr>
          <w:rFonts w:hint="eastAsia" w:ascii="方正仿宋_GBK" w:hAnsi="方正仿宋_GBK" w:eastAsia="方正仿宋_GBK" w:cs="方正仿宋_GBK"/>
          <w:b w:val="0"/>
          <w:bCs w:val="0"/>
          <w:color w:val="auto"/>
          <w:sz w:val="32"/>
          <w:szCs w:val="32"/>
          <w:lang w:val="en-US"/>
        </w:rPr>
        <w:t>/月</w:t>
      </w:r>
      <w:r>
        <w:rPr>
          <w:rFonts w:hint="eastAsia" w:ascii="方正仿宋_GBK" w:hAnsi="方正仿宋_GBK" w:eastAsia="方正仿宋_GBK" w:cs="方正仿宋_GBK"/>
          <w:b w:val="0"/>
          <w:bCs w:val="0"/>
          <w:color w:val="auto"/>
          <w:sz w:val="32"/>
          <w:szCs w:val="32"/>
        </w:rPr>
        <w:t>。</w:t>
      </w:r>
    </w:p>
    <w:p w14:paraId="7AAEDB9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（二）对非居民用户的影响</w:t>
      </w:r>
    </w:p>
    <w:p w14:paraId="696B443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
        </w:rPr>
        <w:t>根据《2024年江门市水资源公报》，我市蓬江区万元工业增加值用水量15立方米，江海区万元工业增加值用水量11立方米。</w:t>
      </w:r>
      <w:r>
        <w:rPr>
          <w:rFonts w:hint="eastAsia" w:ascii="方正仿宋_GBK" w:hAnsi="方正仿宋_GBK" w:eastAsia="方正仿宋_GBK" w:cs="方正仿宋_GBK"/>
          <w:b w:val="0"/>
          <w:bCs w:val="0"/>
          <w:color w:val="auto"/>
          <w:sz w:val="32"/>
          <w:szCs w:val="32"/>
          <w:lang w:val="en"/>
        </w:rPr>
        <w:t>水价调整后，按方案一、二蓬江区万元工业增加值增加水费约8.7元、</w:t>
      </w:r>
      <w:r>
        <w:rPr>
          <w:rFonts w:hint="eastAsia" w:ascii="方正仿宋_GBK" w:hAnsi="方正仿宋_GBK" w:eastAsia="方正仿宋_GBK" w:cs="方正仿宋_GBK"/>
          <w:b w:val="0"/>
          <w:bCs w:val="0"/>
          <w:color w:val="auto"/>
          <w:sz w:val="32"/>
          <w:szCs w:val="32"/>
          <w:lang w:val="en-US" w:eastAsia="zh-CN"/>
        </w:rPr>
        <w:t>9</w:t>
      </w:r>
      <w:r>
        <w:rPr>
          <w:rFonts w:hint="eastAsia" w:ascii="方正仿宋_GBK" w:hAnsi="方正仿宋_GBK" w:eastAsia="方正仿宋_GBK" w:cs="方正仿宋_GBK"/>
          <w:b w:val="0"/>
          <w:bCs w:val="0"/>
          <w:color w:val="auto"/>
          <w:sz w:val="32"/>
          <w:szCs w:val="32"/>
          <w:lang w:val="en"/>
        </w:rPr>
        <w:t>元；按方案一、二则江海区万元工业增加值增加水费约6.38元、6.</w:t>
      </w:r>
      <w:r>
        <w:rPr>
          <w:rFonts w:hint="eastAsia" w:ascii="方正仿宋_GBK" w:hAnsi="方正仿宋_GBK" w:eastAsia="方正仿宋_GBK" w:cs="方正仿宋_GBK"/>
          <w:b w:val="0"/>
          <w:bCs w:val="0"/>
          <w:color w:val="auto"/>
          <w:sz w:val="32"/>
          <w:szCs w:val="32"/>
          <w:lang w:val="en-US" w:eastAsia="zh-CN"/>
        </w:rPr>
        <w:t>6</w:t>
      </w:r>
      <w:r>
        <w:rPr>
          <w:rFonts w:hint="eastAsia" w:ascii="方正仿宋_GBK" w:hAnsi="方正仿宋_GBK" w:eastAsia="方正仿宋_GBK" w:cs="方正仿宋_GBK"/>
          <w:b w:val="0"/>
          <w:bCs w:val="0"/>
          <w:color w:val="auto"/>
          <w:sz w:val="32"/>
          <w:szCs w:val="32"/>
          <w:lang w:val="en"/>
        </w:rPr>
        <w:t>元。据蓬江区、江海区商业用户2024年实际用水情况测算，蓬江区、江海区商业用户月</w:t>
      </w:r>
      <w:r>
        <w:rPr>
          <w:rFonts w:hint="eastAsia" w:ascii="方正仿宋_GBK" w:hAnsi="方正仿宋_GBK" w:eastAsia="方正仿宋_GBK" w:cs="方正仿宋_GBK"/>
          <w:b w:val="0"/>
          <w:bCs w:val="0"/>
          <w:color w:val="auto"/>
          <w:sz w:val="32"/>
          <w:szCs w:val="32"/>
          <w:lang w:val="en-US" w:eastAsia="zh-CN"/>
        </w:rPr>
        <w:t>均</w:t>
      </w:r>
      <w:r>
        <w:rPr>
          <w:rFonts w:hint="eastAsia" w:ascii="方正仿宋_GBK" w:hAnsi="方正仿宋_GBK" w:eastAsia="方正仿宋_GBK" w:cs="方正仿宋_GBK"/>
          <w:b w:val="0"/>
          <w:bCs w:val="0"/>
          <w:color w:val="auto"/>
          <w:sz w:val="32"/>
          <w:szCs w:val="32"/>
          <w:lang w:val="en"/>
        </w:rPr>
        <w:t>用水量约48立方米，水价调整后，按方案一商业用户水费减少支出约3.36元/月，按方案二商业用户水费减少支出约2.4元/月。</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楷体_GBK">
    <w:panose1 w:val="02000000000000000000"/>
    <w:charset w:val="86"/>
    <w:family w:val="script"/>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思源宋体">
    <w:panose1 w:val="02020400000000000000"/>
    <w:charset w:val="86"/>
    <w:family w:val="auto"/>
    <w:pitch w:val="default"/>
    <w:sig w:usb0="30000083" w:usb1="2BDF3C10" w:usb2="00000016" w:usb3="00000000" w:csb0="602E0107"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9540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529693">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4529693">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D61758"/>
    <w:multiLevelType w:val="singleLevel"/>
    <w:tmpl w:val="7FD617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5E2"/>
    <w:rsid w:val="00093610"/>
    <w:rsid w:val="00162749"/>
    <w:rsid w:val="001A63E3"/>
    <w:rsid w:val="00241634"/>
    <w:rsid w:val="00332674"/>
    <w:rsid w:val="0042781A"/>
    <w:rsid w:val="004503FD"/>
    <w:rsid w:val="00457D72"/>
    <w:rsid w:val="0048379C"/>
    <w:rsid w:val="0055549C"/>
    <w:rsid w:val="005A584F"/>
    <w:rsid w:val="0065395A"/>
    <w:rsid w:val="007130E8"/>
    <w:rsid w:val="008319CC"/>
    <w:rsid w:val="008F381B"/>
    <w:rsid w:val="00A8285B"/>
    <w:rsid w:val="00B374AD"/>
    <w:rsid w:val="00DA5134"/>
    <w:rsid w:val="00DC30A5"/>
    <w:rsid w:val="00E91165"/>
    <w:rsid w:val="00ED3278"/>
    <w:rsid w:val="00F32191"/>
    <w:rsid w:val="00F92F43"/>
    <w:rsid w:val="00F955E2"/>
    <w:rsid w:val="00FD4882"/>
    <w:rsid w:val="09946B51"/>
    <w:rsid w:val="0C6C6688"/>
    <w:rsid w:val="11B5429E"/>
    <w:rsid w:val="11F2B59D"/>
    <w:rsid w:val="13FD9FFC"/>
    <w:rsid w:val="17CEC367"/>
    <w:rsid w:val="19FF8AC0"/>
    <w:rsid w:val="1A954192"/>
    <w:rsid w:val="1ABD8D04"/>
    <w:rsid w:val="1AEBABDC"/>
    <w:rsid w:val="1D6F0148"/>
    <w:rsid w:val="1DF59B4A"/>
    <w:rsid w:val="1DFF0FDF"/>
    <w:rsid w:val="1F56AD7D"/>
    <w:rsid w:val="1F776817"/>
    <w:rsid w:val="1FEBB9C2"/>
    <w:rsid w:val="204C290F"/>
    <w:rsid w:val="23DECE76"/>
    <w:rsid w:val="269539EE"/>
    <w:rsid w:val="2936FECF"/>
    <w:rsid w:val="2B3A9560"/>
    <w:rsid w:val="2BF78CA2"/>
    <w:rsid w:val="2CAB19A7"/>
    <w:rsid w:val="2CFF9BD8"/>
    <w:rsid w:val="2D7FF96F"/>
    <w:rsid w:val="2F42F238"/>
    <w:rsid w:val="2F7F64FC"/>
    <w:rsid w:val="2FCFE5C5"/>
    <w:rsid w:val="2FDFEB39"/>
    <w:rsid w:val="2FE3F73C"/>
    <w:rsid w:val="33FB646A"/>
    <w:rsid w:val="344E51BA"/>
    <w:rsid w:val="35EFB610"/>
    <w:rsid w:val="35F81187"/>
    <w:rsid w:val="367A672F"/>
    <w:rsid w:val="37B3FDD9"/>
    <w:rsid w:val="37BE2747"/>
    <w:rsid w:val="37CDD767"/>
    <w:rsid w:val="37DB31D9"/>
    <w:rsid w:val="37F5503F"/>
    <w:rsid w:val="38DD259C"/>
    <w:rsid w:val="395EC1BB"/>
    <w:rsid w:val="3A701B49"/>
    <w:rsid w:val="3A7FD46D"/>
    <w:rsid w:val="3AB50405"/>
    <w:rsid w:val="3AFB01D3"/>
    <w:rsid w:val="3BEDEA9C"/>
    <w:rsid w:val="3DDF2B1E"/>
    <w:rsid w:val="3DFF5E31"/>
    <w:rsid w:val="3ED1682E"/>
    <w:rsid w:val="3EE7EB3E"/>
    <w:rsid w:val="3F3F4A58"/>
    <w:rsid w:val="3F7B3178"/>
    <w:rsid w:val="3F7DB501"/>
    <w:rsid w:val="3F7F7822"/>
    <w:rsid w:val="3FDBEB43"/>
    <w:rsid w:val="3FE9A1A6"/>
    <w:rsid w:val="3FEE52D9"/>
    <w:rsid w:val="3FF1E193"/>
    <w:rsid w:val="3FF7A938"/>
    <w:rsid w:val="3FF7EECE"/>
    <w:rsid w:val="3FFBB4BE"/>
    <w:rsid w:val="47772AA0"/>
    <w:rsid w:val="47F78F22"/>
    <w:rsid w:val="47FEE908"/>
    <w:rsid w:val="49F7FFE8"/>
    <w:rsid w:val="4BE64BB4"/>
    <w:rsid w:val="4BED52AB"/>
    <w:rsid w:val="4BEF36FC"/>
    <w:rsid w:val="4BFD2BF4"/>
    <w:rsid w:val="4DFC43A4"/>
    <w:rsid w:val="4EBF1DE1"/>
    <w:rsid w:val="4EFF3E07"/>
    <w:rsid w:val="4FE2FB9D"/>
    <w:rsid w:val="4FF15691"/>
    <w:rsid w:val="51F6906B"/>
    <w:rsid w:val="51FBC60F"/>
    <w:rsid w:val="53FDB73B"/>
    <w:rsid w:val="5569CB64"/>
    <w:rsid w:val="55DF5D36"/>
    <w:rsid w:val="55FFC575"/>
    <w:rsid w:val="57F3994E"/>
    <w:rsid w:val="57FF8D0F"/>
    <w:rsid w:val="58B5478F"/>
    <w:rsid w:val="59DBF82B"/>
    <w:rsid w:val="5AF75184"/>
    <w:rsid w:val="5AF75388"/>
    <w:rsid w:val="5BBF60DC"/>
    <w:rsid w:val="5BCB0407"/>
    <w:rsid w:val="5BED8E3A"/>
    <w:rsid w:val="5BF72E17"/>
    <w:rsid w:val="5BF93721"/>
    <w:rsid w:val="5BFD5C43"/>
    <w:rsid w:val="5BFFDC27"/>
    <w:rsid w:val="5C23789D"/>
    <w:rsid w:val="5C7D2991"/>
    <w:rsid w:val="5CBF885A"/>
    <w:rsid w:val="5CE7DD56"/>
    <w:rsid w:val="5D7BA685"/>
    <w:rsid w:val="5DBBC231"/>
    <w:rsid w:val="5DBFE31E"/>
    <w:rsid w:val="5E1F67E9"/>
    <w:rsid w:val="5E4E8C13"/>
    <w:rsid w:val="5EB3BFBC"/>
    <w:rsid w:val="5EBFDC6D"/>
    <w:rsid w:val="5EFCE024"/>
    <w:rsid w:val="5EFDB103"/>
    <w:rsid w:val="5F6FC06B"/>
    <w:rsid w:val="5F7B5497"/>
    <w:rsid w:val="5F7F0FA0"/>
    <w:rsid w:val="5F85257B"/>
    <w:rsid w:val="5FE53419"/>
    <w:rsid w:val="5FEB6452"/>
    <w:rsid w:val="5FEF46D1"/>
    <w:rsid w:val="5FF95B04"/>
    <w:rsid w:val="5FFFBDFA"/>
    <w:rsid w:val="60301EB7"/>
    <w:rsid w:val="60E37F93"/>
    <w:rsid w:val="63902D4B"/>
    <w:rsid w:val="65F402EA"/>
    <w:rsid w:val="66FF8A56"/>
    <w:rsid w:val="6757F314"/>
    <w:rsid w:val="67BF90FB"/>
    <w:rsid w:val="67D22246"/>
    <w:rsid w:val="67FFB985"/>
    <w:rsid w:val="681EC58D"/>
    <w:rsid w:val="6AFFAF56"/>
    <w:rsid w:val="6B7F2CF2"/>
    <w:rsid w:val="6B99D320"/>
    <w:rsid w:val="6BCB0273"/>
    <w:rsid w:val="6BFE2E44"/>
    <w:rsid w:val="6D911B95"/>
    <w:rsid w:val="6DAFE971"/>
    <w:rsid w:val="6DD7B373"/>
    <w:rsid w:val="6DFADE09"/>
    <w:rsid w:val="6DFB3FD4"/>
    <w:rsid w:val="6ED68678"/>
    <w:rsid w:val="6ED95141"/>
    <w:rsid w:val="6EFD8767"/>
    <w:rsid w:val="6EFFF0F8"/>
    <w:rsid w:val="6F2F4BF2"/>
    <w:rsid w:val="6F55ABF6"/>
    <w:rsid w:val="6F8F16E1"/>
    <w:rsid w:val="6FB9D666"/>
    <w:rsid w:val="6FBF8FC0"/>
    <w:rsid w:val="6FDF4FCA"/>
    <w:rsid w:val="6FDF5A43"/>
    <w:rsid w:val="6FF6F194"/>
    <w:rsid w:val="6FFD1681"/>
    <w:rsid w:val="6FFFC0A7"/>
    <w:rsid w:val="71C72AA6"/>
    <w:rsid w:val="71FDE491"/>
    <w:rsid w:val="72AB34F1"/>
    <w:rsid w:val="73D76A5C"/>
    <w:rsid w:val="73FED86E"/>
    <w:rsid w:val="748AC99F"/>
    <w:rsid w:val="756F3D1B"/>
    <w:rsid w:val="756FF121"/>
    <w:rsid w:val="75BE9E85"/>
    <w:rsid w:val="75D38BD3"/>
    <w:rsid w:val="75EF9BD8"/>
    <w:rsid w:val="75F956D2"/>
    <w:rsid w:val="75FBB567"/>
    <w:rsid w:val="75FF55B1"/>
    <w:rsid w:val="77891DDC"/>
    <w:rsid w:val="7797E809"/>
    <w:rsid w:val="779C1D4C"/>
    <w:rsid w:val="77CB5A95"/>
    <w:rsid w:val="77FBE595"/>
    <w:rsid w:val="77FF330D"/>
    <w:rsid w:val="77FFE3CB"/>
    <w:rsid w:val="78413121"/>
    <w:rsid w:val="78BFF458"/>
    <w:rsid w:val="78D51498"/>
    <w:rsid w:val="78FE88C3"/>
    <w:rsid w:val="792784C9"/>
    <w:rsid w:val="794E7605"/>
    <w:rsid w:val="79532ACF"/>
    <w:rsid w:val="79B7CD2B"/>
    <w:rsid w:val="7A2D7B07"/>
    <w:rsid w:val="7A939166"/>
    <w:rsid w:val="7ACDD57F"/>
    <w:rsid w:val="7AD9ED56"/>
    <w:rsid w:val="7AEC56D5"/>
    <w:rsid w:val="7AFB392B"/>
    <w:rsid w:val="7B3EE4B2"/>
    <w:rsid w:val="7B3F1AF9"/>
    <w:rsid w:val="7B5FFCE4"/>
    <w:rsid w:val="7B76C424"/>
    <w:rsid w:val="7B7F8EB3"/>
    <w:rsid w:val="7B7FC355"/>
    <w:rsid w:val="7BAD2CC3"/>
    <w:rsid w:val="7BE52328"/>
    <w:rsid w:val="7BEEE6D5"/>
    <w:rsid w:val="7BF3DD48"/>
    <w:rsid w:val="7BF49A66"/>
    <w:rsid w:val="7BF6D2E0"/>
    <w:rsid w:val="7BF7A56E"/>
    <w:rsid w:val="7BF95C55"/>
    <w:rsid w:val="7BFC227E"/>
    <w:rsid w:val="7BFEA4EF"/>
    <w:rsid w:val="7BFF5F8B"/>
    <w:rsid w:val="7C7F73E4"/>
    <w:rsid w:val="7CBF3AF2"/>
    <w:rsid w:val="7CBFDD86"/>
    <w:rsid w:val="7CFFA9C4"/>
    <w:rsid w:val="7D3F6549"/>
    <w:rsid w:val="7D5BD5E2"/>
    <w:rsid w:val="7D6B86EB"/>
    <w:rsid w:val="7D740241"/>
    <w:rsid w:val="7DB781F4"/>
    <w:rsid w:val="7DBF3C39"/>
    <w:rsid w:val="7DBFA3E1"/>
    <w:rsid w:val="7DBFEAD1"/>
    <w:rsid w:val="7DE9FF33"/>
    <w:rsid w:val="7DED96F8"/>
    <w:rsid w:val="7DEF3018"/>
    <w:rsid w:val="7DF5A5B7"/>
    <w:rsid w:val="7DF799E6"/>
    <w:rsid w:val="7DFAE41C"/>
    <w:rsid w:val="7DFF5DFF"/>
    <w:rsid w:val="7DFFC2BD"/>
    <w:rsid w:val="7E3B6A01"/>
    <w:rsid w:val="7E545893"/>
    <w:rsid w:val="7E5FA894"/>
    <w:rsid w:val="7E858CA6"/>
    <w:rsid w:val="7E8FD98D"/>
    <w:rsid w:val="7EBA7B53"/>
    <w:rsid w:val="7EBFF7B9"/>
    <w:rsid w:val="7ECD35A3"/>
    <w:rsid w:val="7ED629F0"/>
    <w:rsid w:val="7EDBDC61"/>
    <w:rsid w:val="7EEA886B"/>
    <w:rsid w:val="7EEBC344"/>
    <w:rsid w:val="7EEF6979"/>
    <w:rsid w:val="7EF709DE"/>
    <w:rsid w:val="7EF73689"/>
    <w:rsid w:val="7EF74DBC"/>
    <w:rsid w:val="7EFEF422"/>
    <w:rsid w:val="7EFF3081"/>
    <w:rsid w:val="7F37C121"/>
    <w:rsid w:val="7F3BDD78"/>
    <w:rsid w:val="7F680B6A"/>
    <w:rsid w:val="7F772013"/>
    <w:rsid w:val="7F9FFE09"/>
    <w:rsid w:val="7FAD77A9"/>
    <w:rsid w:val="7FB5B48F"/>
    <w:rsid w:val="7FBFD580"/>
    <w:rsid w:val="7FBFE195"/>
    <w:rsid w:val="7FD6B587"/>
    <w:rsid w:val="7FD85B45"/>
    <w:rsid w:val="7FDF32A3"/>
    <w:rsid w:val="7FDF8BE1"/>
    <w:rsid w:val="7FE383AA"/>
    <w:rsid w:val="7FEB310F"/>
    <w:rsid w:val="7FEDA751"/>
    <w:rsid w:val="7FEFA014"/>
    <w:rsid w:val="7FF5A9C6"/>
    <w:rsid w:val="7FF7BAFB"/>
    <w:rsid w:val="7FFE43E6"/>
    <w:rsid w:val="7FFF42F7"/>
    <w:rsid w:val="7FFF5390"/>
    <w:rsid w:val="8C961C2A"/>
    <w:rsid w:val="8F7E5D7C"/>
    <w:rsid w:val="8F9DDAE9"/>
    <w:rsid w:val="93B32412"/>
    <w:rsid w:val="96AFA14D"/>
    <w:rsid w:val="96BD0C68"/>
    <w:rsid w:val="96D8C482"/>
    <w:rsid w:val="97FF606B"/>
    <w:rsid w:val="9ACD5FD5"/>
    <w:rsid w:val="9BD99239"/>
    <w:rsid w:val="9CCFD82D"/>
    <w:rsid w:val="9D3612C3"/>
    <w:rsid w:val="9D7F0AC0"/>
    <w:rsid w:val="9F7ECC08"/>
    <w:rsid w:val="9FDF4F9B"/>
    <w:rsid w:val="9FE678B1"/>
    <w:rsid w:val="9FFE0FEB"/>
    <w:rsid w:val="A38FE489"/>
    <w:rsid w:val="A6BF4FA3"/>
    <w:rsid w:val="A7390D7B"/>
    <w:rsid w:val="A9B6DA85"/>
    <w:rsid w:val="ADFFB806"/>
    <w:rsid w:val="AE9D155B"/>
    <w:rsid w:val="AEF7C3BA"/>
    <w:rsid w:val="AFFBC897"/>
    <w:rsid w:val="B2FD7848"/>
    <w:rsid w:val="B5FF2E99"/>
    <w:rsid w:val="B75E3FF6"/>
    <w:rsid w:val="B7773AB6"/>
    <w:rsid w:val="B8472009"/>
    <w:rsid w:val="B9EAD0A8"/>
    <w:rsid w:val="BAF6E904"/>
    <w:rsid w:val="BB7F763D"/>
    <w:rsid w:val="BBBE8682"/>
    <w:rsid w:val="BCFFBD23"/>
    <w:rsid w:val="BD7B7C25"/>
    <w:rsid w:val="BD96AB0F"/>
    <w:rsid w:val="BDBE682E"/>
    <w:rsid w:val="BDF752DB"/>
    <w:rsid w:val="BE3FCAAB"/>
    <w:rsid w:val="BE67957C"/>
    <w:rsid w:val="BE9F5B66"/>
    <w:rsid w:val="BEBFA419"/>
    <w:rsid w:val="BECF85DC"/>
    <w:rsid w:val="BEFB058E"/>
    <w:rsid w:val="BF6F20EE"/>
    <w:rsid w:val="BF8FF0A3"/>
    <w:rsid w:val="BFBF669F"/>
    <w:rsid w:val="BFD514D5"/>
    <w:rsid w:val="BFE7CB2C"/>
    <w:rsid w:val="BFEF73AB"/>
    <w:rsid w:val="BFFB19E4"/>
    <w:rsid w:val="BFFB7A3C"/>
    <w:rsid w:val="BFFE4A78"/>
    <w:rsid w:val="C1DB86C9"/>
    <w:rsid w:val="C3F9EEE4"/>
    <w:rsid w:val="CB6F558E"/>
    <w:rsid w:val="CB9DD07D"/>
    <w:rsid w:val="CBFF44F2"/>
    <w:rsid w:val="CEB69464"/>
    <w:rsid w:val="CED70F58"/>
    <w:rsid w:val="CFFB929C"/>
    <w:rsid w:val="CFFF9653"/>
    <w:rsid w:val="D32FD0E3"/>
    <w:rsid w:val="D3EE0488"/>
    <w:rsid w:val="D3F67787"/>
    <w:rsid w:val="D5B36CA1"/>
    <w:rsid w:val="D6DF69F5"/>
    <w:rsid w:val="D76FB8F6"/>
    <w:rsid w:val="D77D26F4"/>
    <w:rsid w:val="D79DAB70"/>
    <w:rsid w:val="D7F75446"/>
    <w:rsid w:val="D7FA7E0A"/>
    <w:rsid w:val="D7FE964C"/>
    <w:rsid w:val="D7FFD75A"/>
    <w:rsid w:val="D9EC4B6D"/>
    <w:rsid w:val="DA57E660"/>
    <w:rsid w:val="DAFCEEA3"/>
    <w:rsid w:val="DB3D87AE"/>
    <w:rsid w:val="DB9DAE61"/>
    <w:rsid w:val="DBA2B68D"/>
    <w:rsid w:val="DBAFE684"/>
    <w:rsid w:val="DBEF57E5"/>
    <w:rsid w:val="DBFD8EBF"/>
    <w:rsid w:val="DBFEFEDA"/>
    <w:rsid w:val="DBFF1D8C"/>
    <w:rsid w:val="DCFF0CA5"/>
    <w:rsid w:val="DDD8A0D1"/>
    <w:rsid w:val="DDF32838"/>
    <w:rsid w:val="DDF70C8D"/>
    <w:rsid w:val="DDFF6DCA"/>
    <w:rsid w:val="DE3AE087"/>
    <w:rsid w:val="DEBD48D3"/>
    <w:rsid w:val="DEF56D79"/>
    <w:rsid w:val="DEFF3065"/>
    <w:rsid w:val="DF2A48CA"/>
    <w:rsid w:val="DF4FB79B"/>
    <w:rsid w:val="DF6C074A"/>
    <w:rsid w:val="DF7AE891"/>
    <w:rsid w:val="DF7E5813"/>
    <w:rsid w:val="DFAE6506"/>
    <w:rsid w:val="DFBF8465"/>
    <w:rsid w:val="DFD09D9A"/>
    <w:rsid w:val="DFEB82F9"/>
    <w:rsid w:val="DFFD1C65"/>
    <w:rsid w:val="DFFD2012"/>
    <w:rsid w:val="DFFD4921"/>
    <w:rsid w:val="DFFF207C"/>
    <w:rsid w:val="E15E46E8"/>
    <w:rsid w:val="E3FFD69A"/>
    <w:rsid w:val="E3FFE23E"/>
    <w:rsid w:val="E5BB1DBC"/>
    <w:rsid w:val="E83D477A"/>
    <w:rsid w:val="E96F9C96"/>
    <w:rsid w:val="E9FB0429"/>
    <w:rsid w:val="EAFDDA96"/>
    <w:rsid w:val="EAFF2D5F"/>
    <w:rsid w:val="EBABDF6E"/>
    <w:rsid w:val="EBD6F2C9"/>
    <w:rsid w:val="EC776A3F"/>
    <w:rsid w:val="ECFB5B8C"/>
    <w:rsid w:val="ECFFCD99"/>
    <w:rsid w:val="ED9BA4AB"/>
    <w:rsid w:val="EDDE2121"/>
    <w:rsid w:val="EDEFCE28"/>
    <w:rsid w:val="EDF9D984"/>
    <w:rsid w:val="EDFF7FA2"/>
    <w:rsid w:val="EE7FF790"/>
    <w:rsid w:val="EED698E0"/>
    <w:rsid w:val="EEFEE9C0"/>
    <w:rsid w:val="EF1504E2"/>
    <w:rsid w:val="EF778FBA"/>
    <w:rsid w:val="EF7E24CB"/>
    <w:rsid w:val="EF7F1F67"/>
    <w:rsid w:val="EFAFADB7"/>
    <w:rsid w:val="EFBE55A1"/>
    <w:rsid w:val="EFDF0312"/>
    <w:rsid w:val="EFEFBBF3"/>
    <w:rsid w:val="EFF59544"/>
    <w:rsid w:val="EFFE8B73"/>
    <w:rsid w:val="F0DF28FE"/>
    <w:rsid w:val="F28B621C"/>
    <w:rsid w:val="F2ABD153"/>
    <w:rsid w:val="F3BF501F"/>
    <w:rsid w:val="F3FE1B7D"/>
    <w:rsid w:val="F3FEE949"/>
    <w:rsid w:val="F4BDC423"/>
    <w:rsid w:val="F5BCEBA9"/>
    <w:rsid w:val="F5BE2832"/>
    <w:rsid w:val="F5BF0DAA"/>
    <w:rsid w:val="F5F70DD4"/>
    <w:rsid w:val="F5F75FDE"/>
    <w:rsid w:val="F6BD461C"/>
    <w:rsid w:val="F6CB4DF2"/>
    <w:rsid w:val="F6DEFFBF"/>
    <w:rsid w:val="F6DFE1C6"/>
    <w:rsid w:val="F6EEA758"/>
    <w:rsid w:val="F6FE1A9A"/>
    <w:rsid w:val="F734EC30"/>
    <w:rsid w:val="F735B829"/>
    <w:rsid w:val="F7375574"/>
    <w:rsid w:val="F73B7EC0"/>
    <w:rsid w:val="F7675B4E"/>
    <w:rsid w:val="F7776159"/>
    <w:rsid w:val="F77AE906"/>
    <w:rsid w:val="F7B523D5"/>
    <w:rsid w:val="F7BF149B"/>
    <w:rsid w:val="F7CF04CF"/>
    <w:rsid w:val="F7DF06A9"/>
    <w:rsid w:val="F7F791D7"/>
    <w:rsid w:val="F7FEFBF3"/>
    <w:rsid w:val="F7FFA76B"/>
    <w:rsid w:val="F9FB2F08"/>
    <w:rsid w:val="FADFBA94"/>
    <w:rsid w:val="FB0B6866"/>
    <w:rsid w:val="FB5E90FE"/>
    <w:rsid w:val="FB7DB441"/>
    <w:rsid w:val="FBBD07A5"/>
    <w:rsid w:val="FBBE72F7"/>
    <w:rsid w:val="FBBF8BC9"/>
    <w:rsid w:val="FBBFD302"/>
    <w:rsid w:val="FBDF3D85"/>
    <w:rsid w:val="FBF70C25"/>
    <w:rsid w:val="FBF713C1"/>
    <w:rsid w:val="FBF788F0"/>
    <w:rsid w:val="FC1B3C37"/>
    <w:rsid w:val="FCFFFDC9"/>
    <w:rsid w:val="FD1D2429"/>
    <w:rsid w:val="FD3BD041"/>
    <w:rsid w:val="FD76C8A6"/>
    <w:rsid w:val="FD77A494"/>
    <w:rsid w:val="FD7B89D0"/>
    <w:rsid w:val="FD9B2F55"/>
    <w:rsid w:val="FDBEDFC7"/>
    <w:rsid w:val="FDCB9520"/>
    <w:rsid w:val="FDDFE819"/>
    <w:rsid w:val="FDE54EF7"/>
    <w:rsid w:val="FDEF8B88"/>
    <w:rsid w:val="FDFC9209"/>
    <w:rsid w:val="FEDB74CD"/>
    <w:rsid w:val="FEEF2FCA"/>
    <w:rsid w:val="FEFBCA7E"/>
    <w:rsid w:val="FEFD6FFF"/>
    <w:rsid w:val="FEFDB815"/>
    <w:rsid w:val="FF1F9F99"/>
    <w:rsid w:val="FF3DACBE"/>
    <w:rsid w:val="FF4ACD0F"/>
    <w:rsid w:val="FF4DCA0A"/>
    <w:rsid w:val="FF5B1668"/>
    <w:rsid w:val="FF6E86AE"/>
    <w:rsid w:val="FF7870ED"/>
    <w:rsid w:val="FF7F8A28"/>
    <w:rsid w:val="FF7FB984"/>
    <w:rsid w:val="FF8ED675"/>
    <w:rsid w:val="FFB3FB8A"/>
    <w:rsid w:val="FFBD32C9"/>
    <w:rsid w:val="FFBD9AFE"/>
    <w:rsid w:val="FFC7D499"/>
    <w:rsid w:val="FFDA9B21"/>
    <w:rsid w:val="FFDB9894"/>
    <w:rsid w:val="FFDD48B6"/>
    <w:rsid w:val="FFDF0E5C"/>
    <w:rsid w:val="FFE74D69"/>
    <w:rsid w:val="FFEDECCD"/>
    <w:rsid w:val="FFEEBFF4"/>
    <w:rsid w:val="FFF797B7"/>
    <w:rsid w:val="FFF7CAA8"/>
    <w:rsid w:val="FFF9AB2C"/>
    <w:rsid w:val="FFFCC0D2"/>
    <w:rsid w:val="FFFCD3A0"/>
    <w:rsid w:val="FFFF1127"/>
    <w:rsid w:val="FFFFF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ascii="仿宋_GB2312" w:eastAsia="仿宋_GB2312"/>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99"/>
    <w:rPr>
      <w:rFonts w:ascii="宋体" w:hAnsi="Courier New"/>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rPr>
  </w:style>
  <w:style w:type="paragraph" w:styleId="9">
    <w:name w:val="List Paragraph"/>
    <w:basedOn w:val="1"/>
    <w:unhideWhenUsed/>
    <w:qFormat/>
    <w:uiPriority w:val="99"/>
    <w:pPr>
      <w:ind w:firstLine="420" w:firstLineChars="200"/>
    </w:pPr>
  </w:style>
  <w:style w:type="character" w:customStyle="1" w:styleId="10">
    <w:name w:val="页眉 Char"/>
    <w:basedOn w:val="7"/>
    <w:link w:val="5"/>
    <w:qFormat/>
    <w:uiPriority w:val="99"/>
    <w:rPr>
      <w:rFonts w:ascii="Calibri" w:hAnsi="Calibri" w:eastAsia="宋体" w:cs="Times New Roman"/>
      <w:kern w:val="2"/>
      <w:sz w:val="18"/>
      <w:szCs w:val="18"/>
    </w:rPr>
  </w:style>
  <w:style w:type="character" w:customStyle="1" w:styleId="11">
    <w:name w:val="页脚 Char"/>
    <w:basedOn w:val="7"/>
    <w:link w:val="4"/>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2326</Words>
  <Characters>2495</Characters>
  <Lines>4</Lines>
  <Paragraphs>6</Paragraphs>
  <TotalTime>24</TotalTime>
  <ScaleCrop>false</ScaleCrop>
  <LinksUpToDate>false</LinksUpToDate>
  <CharactersWithSpaces>2542</CharactersWithSpaces>
  <Application>WPS Office_12.8.2.1116_F1E327BC-269C-435d-A152-05C5408002CA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2025-06-13T16:52:00Z</dcterms:created>
  <dc:creator>43855</dc:creator>
  <cp:lastModifiedBy>greatwall</cp:lastModifiedBy>
  <cp:lastPrinted>2025-12-16T03:30:00Z</cp:lastPrinted>
  <dcterms:modified xsi:type="dcterms:W3CDTF">2025-12-17T11:32:37Z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2052-12.8.2.1116</vt:lpwstr>
  </property>
  <property fmtid="{D5CDD505-2E9C-101B-9397-08002B2CF9AE}" pid="3" name="KSOTemplateDocerSaveRecord">
    <vt:lpwstr>eyJoZGlkIjoiZjFmZWIzNDg2MmIzZjExOTIzMmViNTBmYTMwYTk0ZWYiLCJ1c2VySWQiOiIxMTI1Mzc3ODY1In0=</vt:lpwstr>
  </property>
  <property fmtid="{D5CDD505-2E9C-101B-9397-08002B2CF9AE}" pid="4" name="ICV">
    <vt:lpwstr>BB352290CCE8348A55244269994B18F3_43</vt:lpwstr>
  </property>
</Properties>
</file>